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2C9" w:rsidRPr="00DA67DA" w:rsidRDefault="00BF72C9" w:rsidP="00DA67DA">
      <w:pPr>
        <w:pStyle w:val="Heading1"/>
        <w:ind w:left="708" w:firstLine="708"/>
        <w:jc w:val="right"/>
        <w:rPr>
          <w:color w:val="aut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pt;margin-top:-5.4pt;width:100.5pt;height:101.4pt;z-index:-251658240" fillcolor="window">
            <v:imagedata r:id="rId7" o:title=""/>
          </v:shape>
          <o:OLEObject Type="Embed" ProgID="Word.Picture.8" ShapeID="_x0000_s1026" DrawAspect="Content" ObjectID="_1457519042" r:id="rId8"/>
        </w:pict>
      </w:r>
      <w:r w:rsidRPr="00DA67DA">
        <w:rPr>
          <w:color w:val="auto"/>
        </w:rPr>
        <w:t>Agencja Restrukturyzacji i Modernizacji Rolnictwa</w:t>
      </w:r>
    </w:p>
    <w:p w:rsidR="00BF72C9" w:rsidRPr="00DA67DA" w:rsidRDefault="00BF72C9" w:rsidP="00DA67DA">
      <w:pPr>
        <w:pStyle w:val="Heading2"/>
        <w:ind w:left="3540" w:firstLine="708"/>
        <w:jc w:val="right"/>
        <w:rPr>
          <w:color w:val="auto"/>
          <w:sz w:val="28"/>
          <w:szCs w:val="28"/>
        </w:rPr>
      </w:pPr>
      <w:r w:rsidRPr="00DA67DA">
        <w:rPr>
          <w:color w:val="auto"/>
          <w:sz w:val="28"/>
          <w:szCs w:val="28"/>
        </w:rPr>
        <w:t>Wielkopolski Oddział Regionalny</w:t>
      </w:r>
    </w:p>
    <w:p w:rsidR="00BF72C9" w:rsidRPr="00DA67DA" w:rsidRDefault="00BF72C9" w:rsidP="00DA67DA">
      <w:pPr>
        <w:pStyle w:val="Heading2"/>
        <w:jc w:val="right"/>
        <w:rPr>
          <w:rFonts w:ascii="Arial" w:hAnsi="Arial" w:cs="Arial"/>
          <w:color w:val="auto"/>
          <w:sz w:val="28"/>
          <w:szCs w:val="28"/>
        </w:rPr>
      </w:pPr>
      <w:r w:rsidRPr="00DA67DA">
        <w:rPr>
          <w:rFonts w:ascii="Arial" w:hAnsi="Arial" w:cs="Arial"/>
          <w:color w:val="auto"/>
          <w:sz w:val="28"/>
          <w:szCs w:val="28"/>
        </w:rPr>
        <w:t>Biuro Powiatowe w Turku</w:t>
      </w:r>
    </w:p>
    <w:p w:rsidR="00BF72C9" w:rsidRPr="00FE0A75" w:rsidRDefault="00BF72C9" w:rsidP="00B801EF">
      <w:pPr>
        <w:ind w:left="1416" w:firstLine="569"/>
        <w:rPr>
          <w:lang w:val="en-US"/>
        </w:rPr>
      </w:pPr>
      <w:r w:rsidRPr="004342D3">
        <w:rPr>
          <w:sz w:val="16"/>
          <w:szCs w:val="16"/>
        </w:rPr>
        <w:t xml:space="preserve">62-700 Turek, ul. </w:t>
      </w:r>
      <w:r w:rsidRPr="004342D3">
        <w:rPr>
          <w:sz w:val="16"/>
          <w:szCs w:val="16"/>
          <w:lang w:val="en-US"/>
        </w:rPr>
        <w:t xml:space="preserve">Milewskiego 9, tel. (63) 280-21-03 fax. (63) 289-17-48, email: </w:t>
      </w:r>
      <w:hyperlink r:id="rId9" w:history="1">
        <w:r w:rsidRPr="00752B17">
          <w:rPr>
            <w:rStyle w:val="Hyperlink"/>
            <w:sz w:val="16"/>
            <w:szCs w:val="16"/>
            <w:lang w:val="en-US"/>
          </w:rPr>
          <w:t>BP293@arimr.gov.pl</w:t>
        </w:r>
      </w:hyperlink>
    </w:p>
    <w:p w:rsidR="00BF72C9" w:rsidRPr="00FE0A75" w:rsidRDefault="00BF72C9" w:rsidP="00B801EF">
      <w:pPr>
        <w:ind w:left="1416" w:firstLine="569"/>
        <w:jc w:val="center"/>
        <w:rPr>
          <w:sz w:val="16"/>
          <w:szCs w:val="16"/>
        </w:rPr>
      </w:pPr>
      <w:r w:rsidRPr="00B801EF">
        <w:rPr>
          <w:sz w:val="16"/>
          <w:szCs w:val="16"/>
        </w:rPr>
        <w:t xml:space="preserve">Wielkopolski </w:t>
      </w:r>
      <w:r>
        <w:rPr>
          <w:sz w:val="16"/>
          <w:szCs w:val="16"/>
        </w:rPr>
        <w:t>O</w:t>
      </w:r>
      <w:r w:rsidRPr="00B801EF">
        <w:rPr>
          <w:sz w:val="16"/>
          <w:szCs w:val="16"/>
        </w:rPr>
        <w:t>ddział Regionalny</w:t>
      </w:r>
      <w:r>
        <w:rPr>
          <w:sz w:val="16"/>
          <w:szCs w:val="16"/>
        </w:rPr>
        <w:t>,</w:t>
      </w:r>
      <w:r w:rsidRPr="00B801EF">
        <w:rPr>
          <w:sz w:val="16"/>
          <w:szCs w:val="16"/>
        </w:rPr>
        <w:t xml:space="preserve"> 60-479 Poznań ul. Strzeszyńska 36 </w:t>
      </w:r>
      <w:r w:rsidRPr="00FE0A75">
        <w:rPr>
          <w:sz w:val="16"/>
          <w:szCs w:val="16"/>
        </w:rPr>
        <w:t>tel. (61) 845-38-33 fax. (61) 840-06-93</w:t>
      </w:r>
    </w:p>
    <w:p w:rsidR="00BF72C9" w:rsidRPr="00477411" w:rsidRDefault="00BF72C9" w:rsidP="00B801EF">
      <w:pPr>
        <w:ind w:left="1416" w:firstLine="569"/>
        <w:rPr>
          <w:sz w:val="16"/>
          <w:szCs w:val="16"/>
        </w:rPr>
      </w:pPr>
      <w:r w:rsidRPr="00477411">
        <w:rPr>
          <w:sz w:val="16"/>
          <w:szCs w:val="16"/>
        </w:rPr>
        <w:t>Centrala ARiMR 00-175 Warszawa, Al. Jana Pawła II 70, tel. +48 (22) 8602950, fax. (22) 8602980</w:t>
      </w:r>
    </w:p>
    <w:p w:rsidR="00BF72C9" w:rsidRPr="00477411" w:rsidRDefault="00BF72C9" w:rsidP="00B801EF">
      <w:pPr>
        <w:ind w:firstLine="1985"/>
        <w:rPr>
          <w:sz w:val="16"/>
          <w:szCs w:val="16"/>
        </w:rPr>
      </w:pPr>
      <w:r w:rsidRPr="00477411">
        <w:rPr>
          <w:sz w:val="16"/>
          <w:szCs w:val="16"/>
        </w:rPr>
        <w:t>Adres korespondencyjny: 02-822 Warszawa</w:t>
      </w:r>
      <w:r>
        <w:rPr>
          <w:sz w:val="16"/>
          <w:szCs w:val="16"/>
        </w:rPr>
        <w:t>, ul. Poleczki 33.</w:t>
      </w:r>
    </w:p>
    <w:p w:rsidR="00BF72C9" w:rsidRPr="00FE0A75" w:rsidRDefault="00BF72C9" w:rsidP="00477411">
      <w:pPr>
        <w:ind w:left="1416" w:firstLine="708"/>
        <w:rPr>
          <w:sz w:val="16"/>
          <w:szCs w:val="16"/>
        </w:rPr>
      </w:pPr>
    </w:p>
    <w:p w:rsidR="00BF72C9" w:rsidRDefault="00BF72C9" w:rsidP="00DA67DA">
      <w:pPr>
        <w:jc w:val="right"/>
        <w:rPr>
          <w:sz w:val="20"/>
          <w:szCs w:val="20"/>
        </w:rPr>
      </w:pPr>
    </w:p>
    <w:p w:rsidR="00BF72C9" w:rsidRDefault="00BF72C9" w:rsidP="00E20799">
      <w:pPr>
        <w:jc w:val="right"/>
        <w:rPr>
          <w:sz w:val="20"/>
          <w:szCs w:val="20"/>
        </w:rPr>
      </w:pPr>
      <w:r>
        <w:rPr>
          <w:sz w:val="20"/>
          <w:szCs w:val="20"/>
        </w:rPr>
        <w:t>Turek, dnia 27-03-2014 r.</w:t>
      </w:r>
    </w:p>
    <w:p w:rsidR="00BF72C9" w:rsidRPr="003E13D2" w:rsidRDefault="00BF72C9" w:rsidP="00E20799">
      <w:pPr>
        <w:jc w:val="right"/>
        <w:rPr>
          <w:sz w:val="16"/>
          <w:szCs w:val="16"/>
        </w:rPr>
      </w:pPr>
    </w:p>
    <w:p w:rsidR="00BF72C9" w:rsidRPr="003E13D2" w:rsidRDefault="00BF72C9" w:rsidP="00C415E3">
      <w:pPr>
        <w:jc w:val="center"/>
        <w:rPr>
          <w:b/>
          <w:bCs/>
        </w:rPr>
      </w:pPr>
      <w:r>
        <w:rPr>
          <w:b/>
          <w:bCs/>
        </w:rPr>
        <w:t>INFORMACJA Z REALIZACJI DOPŁAT DLA ROLNIKÓW POWIATU TURECKIEGO</w:t>
      </w:r>
      <w:r w:rsidRPr="00686395">
        <w:rPr>
          <w:b/>
          <w:bCs/>
        </w:rPr>
        <w:t xml:space="preserve"> </w:t>
      </w:r>
      <w:r>
        <w:rPr>
          <w:b/>
          <w:bCs/>
        </w:rPr>
        <w:t>ZA 2013 ROK</w:t>
      </w:r>
    </w:p>
    <w:p w:rsidR="00BF72C9" w:rsidRPr="00C50F32" w:rsidRDefault="00BF72C9" w:rsidP="00C415E3">
      <w:pPr>
        <w:jc w:val="both"/>
        <w:rPr>
          <w:sz w:val="16"/>
          <w:szCs w:val="16"/>
        </w:rPr>
      </w:pPr>
    </w:p>
    <w:p w:rsidR="00BF72C9" w:rsidRDefault="00BF72C9" w:rsidP="00C415E3">
      <w:pPr>
        <w:numPr>
          <w:ilvl w:val="0"/>
          <w:numId w:val="16"/>
        </w:numPr>
        <w:jc w:val="both"/>
        <w:rPr>
          <w:b/>
          <w:bCs/>
        </w:rPr>
      </w:pPr>
      <w:r>
        <w:rPr>
          <w:b/>
          <w:bCs/>
        </w:rPr>
        <w:t>DOPŁATY OBSZAROWE</w:t>
      </w:r>
      <w:r w:rsidRPr="008875CE">
        <w:rPr>
          <w:b/>
          <w:bCs/>
        </w:rPr>
        <w:t xml:space="preserve"> I ONW</w:t>
      </w:r>
      <w:r>
        <w:rPr>
          <w:b/>
          <w:bCs/>
        </w:rPr>
        <w:t xml:space="preserve"> </w:t>
      </w:r>
    </w:p>
    <w:p w:rsidR="00BF72C9" w:rsidRPr="00C50F32" w:rsidRDefault="00BF72C9" w:rsidP="00C415E3">
      <w:pPr>
        <w:ind w:left="360"/>
        <w:jc w:val="both"/>
        <w:rPr>
          <w:b/>
          <w:bCs/>
          <w:sz w:val="16"/>
          <w:szCs w:val="16"/>
        </w:rPr>
      </w:pPr>
    </w:p>
    <w:p w:rsidR="00BF72C9" w:rsidRDefault="00BF72C9" w:rsidP="00C415E3">
      <w:pPr>
        <w:ind w:left="360"/>
        <w:jc w:val="both"/>
      </w:pPr>
      <w:r>
        <w:t>Realizacja dopłat obszarowych dla rolników Powiatu Tureckiego na dzień sporządzenia niniejszej informacji przedstawia się następująco:</w:t>
      </w:r>
    </w:p>
    <w:p w:rsidR="00BF72C9" w:rsidRDefault="00BF72C9" w:rsidP="00DE5AD1">
      <w:pPr>
        <w:ind w:left="360"/>
        <w:jc w:val="both"/>
      </w:pPr>
      <w:r>
        <w:t xml:space="preserve">Na </w:t>
      </w:r>
      <w:r>
        <w:rPr>
          <w:b/>
          <w:bCs/>
        </w:rPr>
        <w:t>6510</w:t>
      </w:r>
      <w:r>
        <w:t xml:space="preserve"> złożonych w 2013 roku wniosków obszarowych, wydanych zostało </w:t>
      </w:r>
      <w:r>
        <w:rPr>
          <w:b/>
          <w:bCs/>
        </w:rPr>
        <w:t>6445</w:t>
      </w:r>
      <w:r>
        <w:t xml:space="preserve"> decyzji</w:t>
      </w:r>
      <w:r w:rsidRPr="00AD446F">
        <w:t xml:space="preserve"> </w:t>
      </w:r>
      <w:r>
        <w:t xml:space="preserve">             </w:t>
      </w:r>
      <w:r w:rsidRPr="00AD446F">
        <w:t xml:space="preserve">o przyznaniu płatności bezpośrednich do gruntów rolnych, tj. ok. </w:t>
      </w:r>
      <w:r>
        <w:rPr>
          <w:b/>
          <w:bCs/>
        </w:rPr>
        <w:t>99</w:t>
      </w:r>
      <w:r w:rsidRPr="00B22A25">
        <w:rPr>
          <w:b/>
          <w:bCs/>
        </w:rPr>
        <w:t>%</w:t>
      </w:r>
      <w:r w:rsidRPr="00AD446F">
        <w:t xml:space="preserve"> w stosunku do całości spraw obsługi</w:t>
      </w:r>
      <w:r>
        <w:t>wanych przez Biuro Powiatowe ARi</w:t>
      </w:r>
      <w:r w:rsidRPr="00AD446F">
        <w:t>MR w Turku</w:t>
      </w:r>
      <w:r>
        <w:t xml:space="preserve">. W chwili obecnej </w:t>
      </w:r>
      <w:r>
        <w:rPr>
          <w:b/>
          <w:bCs/>
        </w:rPr>
        <w:t>65</w:t>
      </w:r>
      <w:r>
        <w:t xml:space="preserve"> spraw wymaga dalszej obsługi i są to z reguły sprawy dotyczące rolników                         u których przeprowadzono w gospodarstwie kontrolę na miejscu, oraz wymagające przeprowadzenia postępowania wyjaśniającego ze względu na występujące kontrole krzyżowe z innymi producentami rolnymi oraz sprawy, dla których istnieją ograniczenia systemowe w procesie dalszej ich obsługi.</w:t>
      </w:r>
    </w:p>
    <w:p w:rsidR="00BF72C9" w:rsidRPr="00B90210" w:rsidRDefault="00BF72C9" w:rsidP="00C415E3">
      <w:pPr>
        <w:tabs>
          <w:tab w:val="num" w:pos="360"/>
        </w:tabs>
        <w:ind w:left="360" w:hanging="360"/>
        <w:jc w:val="both"/>
      </w:pPr>
      <w:r>
        <w:tab/>
        <w:t xml:space="preserve">Wszystkie wskazane do tej chwili kwoty płatności w decyzjach obszarowych i ONW znalazły się na zatwierdzonych listach zleceń płatności, które zostały przesłane do Departamentu Finansowego i Departamentu Księgowości w Centrali ARiMR, celem realizacji przelewów na konta rolników. </w:t>
      </w:r>
      <w:r w:rsidRPr="00B90210">
        <w:t xml:space="preserve">W przypadku płatności obszarowych listy zleceń płatności zostały przekazane na kwotę </w:t>
      </w:r>
      <w:r>
        <w:rPr>
          <w:b/>
          <w:bCs/>
        </w:rPr>
        <w:t>43 250</w:t>
      </w:r>
      <w:r w:rsidRPr="004B733C">
        <w:rPr>
          <w:b/>
          <w:bCs/>
        </w:rPr>
        <w:t xml:space="preserve"> 700,</w:t>
      </w:r>
      <w:r>
        <w:rPr>
          <w:b/>
          <w:bCs/>
        </w:rPr>
        <w:t>00</w:t>
      </w:r>
      <w:r w:rsidRPr="00B90210">
        <w:rPr>
          <w:b/>
          <w:bCs/>
        </w:rPr>
        <w:t xml:space="preserve"> zł</w:t>
      </w:r>
      <w:r w:rsidRPr="00B90210">
        <w:t xml:space="preserve"> natomiast w przypadku płatności ONW na kwotę </w:t>
      </w:r>
      <w:r>
        <w:rPr>
          <w:b/>
          <w:bCs/>
        </w:rPr>
        <w:t>10 372</w:t>
      </w:r>
      <w:r w:rsidRPr="004B733C">
        <w:rPr>
          <w:b/>
          <w:bCs/>
        </w:rPr>
        <w:t xml:space="preserve"> </w:t>
      </w:r>
      <w:r>
        <w:rPr>
          <w:b/>
          <w:bCs/>
        </w:rPr>
        <w:t>963</w:t>
      </w:r>
      <w:r w:rsidRPr="004B733C">
        <w:rPr>
          <w:b/>
          <w:bCs/>
        </w:rPr>
        <w:t>,</w:t>
      </w:r>
      <w:r>
        <w:rPr>
          <w:b/>
          <w:bCs/>
        </w:rPr>
        <w:t>27</w:t>
      </w:r>
      <w:r w:rsidRPr="00B90210">
        <w:rPr>
          <w:b/>
          <w:bCs/>
        </w:rPr>
        <w:t xml:space="preserve"> zł</w:t>
      </w:r>
      <w:r w:rsidRPr="00B90210">
        <w:t xml:space="preserve">, co łącznie daje sumę </w:t>
      </w:r>
      <w:r>
        <w:rPr>
          <w:b/>
          <w:bCs/>
        </w:rPr>
        <w:t>53 623</w:t>
      </w:r>
      <w:r w:rsidRPr="004B733C">
        <w:rPr>
          <w:b/>
          <w:bCs/>
        </w:rPr>
        <w:t xml:space="preserve"> </w:t>
      </w:r>
      <w:r>
        <w:rPr>
          <w:b/>
          <w:bCs/>
        </w:rPr>
        <w:t>663</w:t>
      </w:r>
      <w:r w:rsidRPr="004B733C">
        <w:rPr>
          <w:b/>
          <w:bCs/>
        </w:rPr>
        <w:t>,</w:t>
      </w:r>
      <w:r>
        <w:rPr>
          <w:b/>
          <w:bCs/>
        </w:rPr>
        <w:t>27</w:t>
      </w:r>
      <w:r w:rsidRPr="00B90210">
        <w:rPr>
          <w:b/>
          <w:bCs/>
        </w:rPr>
        <w:t xml:space="preserve"> zł</w:t>
      </w:r>
      <w:r w:rsidRPr="00B90210">
        <w:t>.</w:t>
      </w:r>
    </w:p>
    <w:p w:rsidR="00BF72C9" w:rsidRDefault="00BF72C9" w:rsidP="00644E34">
      <w:pPr>
        <w:tabs>
          <w:tab w:val="num" w:pos="360"/>
        </w:tabs>
        <w:ind w:left="360" w:hanging="360"/>
        <w:jc w:val="both"/>
      </w:pPr>
      <w:r>
        <w:tab/>
        <w:t xml:space="preserve">Termin realizacji </w:t>
      </w:r>
      <w:r w:rsidRPr="00C25D37">
        <w:t>p</w:t>
      </w:r>
      <w:r>
        <w:t>łatności obszarowych reguluje Rozporządzenie Komisji Europejskiej, (WE) Nr 73/2009 z dnia 19 stycznia 2009 r., które określa termin płatności na czas              od 1 grudnia roku, w którym został złożony wniosek do 30 czerwca roku następnego. Wyżej wymieniony termin wskazuje na to, że realizacja płatności odbywa się bez opóźnień, oraz pozwala wyrazić przekonanie, że pozostała część wniosków zostanie rozpatrzona i należne płatności zostaną wypłacone w terminie.</w:t>
      </w:r>
    </w:p>
    <w:p w:rsidR="00BF72C9" w:rsidRPr="000C7523" w:rsidRDefault="00BF72C9" w:rsidP="002D346F">
      <w:pPr>
        <w:tabs>
          <w:tab w:val="num" w:pos="360"/>
        </w:tabs>
        <w:ind w:left="360" w:hanging="360"/>
        <w:jc w:val="both"/>
      </w:pPr>
      <w:r>
        <w:tab/>
        <w:t>Poniżej zamieszczam stawki płatności bezpośrednich oraz płatności uzupełniających do gruntów rolnych za 2013 rok. Kurs euro na podstawie którego dopłaty były przeliczane, wynosił 4,2288 zł/euro (w roku 2012 kurs wynosił 4,1038 zł/euro).</w:t>
      </w:r>
    </w:p>
    <w:p w:rsidR="00BF72C9" w:rsidRPr="00633354" w:rsidRDefault="00BF72C9" w:rsidP="002D346F">
      <w:pPr>
        <w:tabs>
          <w:tab w:val="num" w:pos="360"/>
        </w:tabs>
        <w:ind w:left="360" w:hanging="360"/>
        <w:jc w:val="both"/>
        <w:rPr>
          <w:color w:val="00B050"/>
          <w:sz w:val="16"/>
          <w:szCs w:val="16"/>
        </w:rPr>
      </w:pPr>
    </w:p>
    <w:p w:rsidR="00BF72C9" w:rsidRPr="000C7523" w:rsidRDefault="00BF72C9" w:rsidP="002D346F">
      <w:pPr>
        <w:tabs>
          <w:tab w:val="num" w:pos="360"/>
        </w:tabs>
        <w:ind w:left="360" w:hanging="360"/>
        <w:jc w:val="both"/>
        <w:rPr>
          <w:b/>
          <w:bCs/>
        </w:rPr>
      </w:pPr>
      <w:r>
        <w:rPr>
          <w:color w:val="00B050"/>
        </w:rPr>
        <w:tab/>
      </w:r>
      <w:r>
        <w:rPr>
          <w:b/>
          <w:bCs/>
        </w:rPr>
        <w:t>Stawki płatności za rok 2013</w:t>
      </w:r>
      <w:r w:rsidRPr="000C7523">
        <w:rPr>
          <w:b/>
          <w:bCs/>
        </w:rPr>
        <w:t xml:space="preserve"> przedstawiają się następująco:</w:t>
      </w:r>
    </w:p>
    <w:p w:rsidR="00BF72C9" w:rsidRDefault="00BF72C9" w:rsidP="00CE6E59">
      <w:pPr>
        <w:tabs>
          <w:tab w:val="num" w:pos="360"/>
        </w:tabs>
        <w:jc w:val="both"/>
      </w:pPr>
    </w:p>
    <w:p w:rsidR="00BF72C9" w:rsidRDefault="00BF72C9" w:rsidP="00C415E3">
      <w:pPr>
        <w:numPr>
          <w:ilvl w:val="1"/>
          <w:numId w:val="14"/>
        </w:numPr>
        <w:jc w:val="both"/>
      </w:pPr>
      <w:r>
        <w:t xml:space="preserve">jednolita płatność obszarowa </w:t>
      </w:r>
      <w:r>
        <w:tab/>
      </w:r>
      <w:r>
        <w:tab/>
      </w:r>
      <w:r>
        <w:tab/>
        <w:t>– 830,30 zł/ha</w:t>
      </w:r>
    </w:p>
    <w:p w:rsidR="00BF72C9" w:rsidRDefault="00BF72C9" w:rsidP="00C415E3">
      <w:pPr>
        <w:numPr>
          <w:ilvl w:val="1"/>
          <w:numId w:val="14"/>
        </w:numPr>
        <w:jc w:val="both"/>
      </w:pPr>
      <w:r>
        <w:t>uzupełniająca płatność obszarowa</w:t>
      </w:r>
      <w:r>
        <w:tab/>
      </w:r>
      <w:r>
        <w:tab/>
      </w:r>
      <w:r>
        <w:tab/>
        <w:t>– 139,39 zł/ha</w:t>
      </w:r>
    </w:p>
    <w:p w:rsidR="00BF72C9" w:rsidRDefault="00BF72C9" w:rsidP="00C415E3">
      <w:pPr>
        <w:numPr>
          <w:ilvl w:val="1"/>
          <w:numId w:val="14"/>
        </w:numPr>
        <w:jc w:val="both"/>
      </w:pPr>
      <w:r>
        <w:t>płatność zwierzęca</w:t>
      </w:r>
      <w:r>
        <w:tab/>
      </w:r>
      <w:r>
        <w:tab/>
      </w:r>
      <w:r>
        <w:tab/>
      </w:r>
      <w:r>
        <w:tab/>
      </w:r>
      <w:r>
        <w:tab/>
        <w:t>– 238,93 zł/ha</w:t>
      </w:r>
    </w:p>
    <w:p w:rsidR="00BF72C9" w:rsidRDefault="00BF72C9" w:rsidP="00C415E3">
      <w:pPr>
        <w:numPr>
          <w:ilvl w:val="1"/>
          <w:numId w:val="14"/>
        </w:numPr>
        <w:jc w:val="both"/>
      </w:pPr>
      <w:r>
        <w:t>płatność do roślin strączkowych</w:t>
      </w:r>
      <w:r>
        <w:tab/>
      </w:r>
      <w:r>
        <w:tab/>
      </w:r>
      <w:r>
        <w:tab/>
        <w:t>– 719,43 zł/ha</w:t>
      </w:r>
    </w:p>
    <w:p w:rsidR="00BF72C9" w:rsidRDefault="00BF72C9" w:rsidP="000E6840">
      <w:pPr>
        <w:numPr>
          <w:ilvl w:val="1"/>
          <w:numId w:val="14"/>
        </w:numPr>
        <w:jc w:val="both"/>
      </w:pPr>
      <w:r>
        <w:t>płatność z tytułu cukru</w:t>
      </w:r>
      <w:r>
        <w:tab/>
      </w:r>
      <w:r>
        <w:tab/>
      </w:r>
      <w:r>
        <w:tab/>
      </w:r>
      <w:r>
        <w:tab/>
        <w:t xml:space="preserve">– 54,10 zł/t </w:t>
      </w:r>
    </w:p>
    <w:p w:rsidR="00BF72C9" w:rsidRPr="00633354" w:rsidRDefault="00BF72C9" w:rsidP="00C415E3">
      <w:pPr>
        <w:ind w:left="360"/>
        <w:jc w:val="both"/>
        <w:rPr>
          <w:sz w:val="16"/>
          <w:szCs w:val="16"/>
        </w:rPr>
      </w:pPr>
    </w:p>
    <w:p w:rsidR="00BF72C9" w:rsidRDefault="00BF72C9" w:rsidP="00276E98">
      <w:pPr>
        <w:ind w:left="360"/>
        <w:jc w:val="both"/>
      </w:pPr>
      <w:r>
        <w:t xml:space="preserve">Wraz z wnioskami o płatności obszarowe przyjmujemy również wnioski o płatności               z tytułu ONW (wsparcie gospodarstw o niekorzystnych warunkach gospodarowania). Sytuacja z obsługą w/w działania kształtuje się podobnie jak w przypadku płatności obszarowych i na </w:t>
      </w:r>
      <w:r w:rsidRPr="00C51A08">
        <w:rPr>
          <w:b/>
          <w:bCs/>
        </w:rPr>
        <w:t>6</w:t>
      </w:r>
      <w:r>
        <w:rPr>
          <w:b/>
          <w:bCs/>
        </w:rPr>
        <w:t>344</w:t>
      </w:r>
      <w:r>
        <w:t xml:space="preserve"> przyjęte wnioski ONW wydaliśmy </w:t>
      </w:r>
      <w:r>
        <w:rPr>
          <w:b/>
          <w:bCs/>
        </w:rPr>
        <w:t>6281</w:t>
      </w:r>
      <w:r w:rsidRPr="00AD446F">
        <w:t xml:space="preserve"> decyzji</w:t>
      </w:r>
      <w:r>
        <w:t>,</w:t>
      </w:r>
      <w:r w:rsidRPr="00AD446F">
        <w:t xml:space="preserve"> co daje poziom realiza</w:t>
      </w:r>
      <w:r>
        <w:t>cji tychże płatności na poziomie</w:t>
      </w:r>
      <w:r w:rsidRPr="00AD446F">
        <w:t xml:space="preserve"> </w:t>
      </w:r>
      <w:r>
        <w:t xml:space="preserve">Biura Powiatowego w </w:t>
      </w:r>
      <w:r w:rsidRPr="00AD446F">
        <w:t xml:space="preserve">ok. </w:t>
      </w:r>
      <w:r>
        <w:rPr>
          <w:b/>
          <w:bCs/>
        </w:rPr>
        <w:t>99</w:t>
      </w:r>
      <w:r w:rsidRPr="00B22A25">
        <w:rPr>
          <w:b/>
          <w:bCs/>
        </w:rPr>
        <w:t>%</w:t>
      </w:r>
      <w:r w:rsidRPr="00B22A25">
        <w:t>.</w:t>
      </w:r>
      <w:r w:rsidRPr="00AD446F">
        <w:t xml:space="preserve"> </w:t>
      </w:r>
      <w:r>
        <w:t xml:space="preserve">W chwili obecnej </w:t>
      </w:r>
      <w:r>
        <w:rPr>
          <w:b/>
          <w:bCs/>
        </w:rPr>
        <w:t>63</w:t>
      </w:r>
      <w:r>
        <w:t xml:space="preserve"> sprawy wymagają dalszej obsługi. </w:t>
      </w:r>
      <w:r w:rsidRPr="00AD446F">
        <w:t>Wysok</w:t>
      </w:r>
      <w:r>
        <w:t>ość dopłat jest taka sama jak w latach poprzednich i wynosi:</w:t>
      </w:r>
    </w:p>
    <w:p w:rsidR="00BF72C9" w:rsidRDefault="00BF72C9" w:rsidP="00C415E3">
      <w:pPr>
        <w:numPr>
          <w:ilvl w:val="0"/>
          <w:numId w:val="15"/>
        </w:numPr>
        <w:jc w:val="both"/>
      </w:pPr>
      <w:r>
        <w:t>I strefa</w:t>
      </w:r>
      <w:r>
        <w:tab/>
      </w:r>
      <w:r>
        <w:tab/>
        <w:t>– 179 zł/ha (do gruntów położonych na terenie Gminy Kawęczyn),</w:t>
      </w:r>
    </w:p>
    <w:p w:rsidR="00BF72C9" w:rsidRDefault="00BF72C9" w:rsidP="00C415E3">
      <w:pPr>
        <w:numPr>
          <w:ilvl w:val="0"/>
          <w:numId w:val="15"/>
        </w:numPr>
        <w:jc w:val="both"/>
      </w:pPr>
      <w:r>
        <w:t>II strefa</w:t>
      </w:r>
      <w:r>
        <w:tab/>
        <w:t>– 264 zł/ha (do gruntów z wszystkich pozostałych gminy z terenu Powiatu Tureckiego z wyłączeniem gruntów położonych w obrębach należących do miast Dobra, Tuliszków i Turek, dla których płatności ONW nie przysługują).</w:t>
      </w:r>
    </w:p>
    <w:p w:rsidR="00BF72C9" w:rsidRDefault="00BF72C9" w:rsidP="000511EC">
      <w:pPr>
        <w:ind w:left="360"/>
        <w:jc w:val="both"/>
        <w:rPr>
          <w:b/>
          <w:bCs/>
        </w:rPr>
      </w:pPr>
      <w:r w:rsidRPr="0098310F">
        <w:t>W przypadku płatności ONW podkreślenia wymaga fakt, iż początkowy termin realizacji dopłat</w:t>
      </w:r>
      <w:r>
        <w:t xml:space="preserve"> dla tego działania</w:t>
      </w:r>
      <w:r w:rsidRPr="0098310F">
        <w:t xml:space="preserve">, jest wcześniejszy od tego, który ma zastosowanie przy realizacji płatności obszarowych </w:t>
      </w:r>
      <w:r w:rsidRPr="0098310F">
        <w:rPr>
          <w:i/>
          <w:iCs/>
        </w:rPr>
        <w:t>(tj.: od 1 grudnia roku w którym złożono wniosek)</w:t>
      </w:r>
      <w:r w:rsidRPr="0098310F">
        <w:t xml:space="preserve">, dlatego też, decyzje dotyczące płatności ONW zaczęliśmy wydawać już w miesiącu </w:t>
      </w:r>
      <w:r>
        <w:t>wrześniu 2013</w:t>
      </w:r>
      <w:r w:rsidRPr="0098310F">
        <w:t xml:space="preserve"> roku a pierwsze przelewy zostały dokonane na kon</w:t>
      </w:r>
      <w:r>
        <w:t>ta rolników po 15 października 2013</w:t>
      </w:r>
      <w:r w:rsidRPr="0098310F">
        <w:t xml:space="preserve"> roku, zaraz po rozpoczęciu nowego roku obrachunkowego.</w:t>
      </w:r>
      <w:r w:rsidRPr="00C608B6">
        <w:rPr>
          <w:b/>
          <w:bCs/>
        </w:rPr>
        <w:t xml:space="preserve"> </w:t>
      </w:r>
    </w:p>
    <w:p w:rsidR="00BF72C9" w:rsidRPr="00633354" w:rsidRDefault="00BF72C9" w:rsidP="000511EC">
      <w:pPr>
        <w:ind w:left="360"/>
        <w:jc w:val="both"/>
        <w:rPr>
          <w:b/>
          <w:bCs/>
          <w:sz w:val="16"/>
          <w:szCs w:val="16"/>
        </w:rPr>
      </w:pPr>
    </w:p>
    <w:p w:rsidR="00BF72C9" w:rsidRDefault="00BF72C9" w:rsidP="000511EC">
      <w:pPr>
        <w:ind w:left="360"/>
        <w:jc w:val="both"/>
        <w:rPr>
          <w:b/>
          <w:bCs/>
        </w:rPr>
      </w:pPr>
      <w:r w:rsidRPr="0098310F">
        <w:rPr>
          <w:b/>
          <w:bCs/>
        </w:rPr>
        <w:t>Wyżej wymienione liczby dotyczące zaawansowania prac nad wnioskami z dnia na dzień ulegają zmianom w związku z tym proszę je traktować jako stan na dany dzień                      tj. dzień sporządzenia niniejszej informacji.</w:t>
      </w:r>
    </w:p>
    <w:p w:rsidR="00BF72C9" w:rsidRDefault="00BF72C9" w:rsidP="000511EC">
      <w:pPr>
        <w:ind w:left="360"/>
        <w:jc w:val="both"/>
      </w:pPr>
    </w:p>
    <w:p w:rsidR="00BF72C9" w:rsidRPr="00633354" w:rsidRDefault="00BF72C9" w:rsidP="000511EC">
      <w:pPr>
        <w:ind w:left="360"/>
        <w:jc w:val="both"/>
        <w:rPr>
          <w:sz w:val="16"/>
          <w:szCs w:val="16"/>
        </w:rPr>
      </w:pPr>
    </w:p>
    <w:p w:rsidR="00BF72C9" w:rsidRPr="00ED4440" w:rsidRDefault="00BF72C9" w:rsidP="00ED4440">
      <w:pPr>
        <w:numPr>
          <w:ilvl w:val="0"/>
          <w:numId w:val="14"/>
        </w:numPr>
        <w:tabs>
          <w:tab w:val="clear" w:pos="780"/>
          <w:tab w:val="num" w:pos="426"/>
        </w:tabs>
        <w:ind w:left="426" w:hanging="426"/>
        <w:jc w:val="both"/>
        <w:rPr>
          <w:b/>
          <w:bCs/>
          <w:color w:val="000000"/>
        </w:rPr>
      </w:pPr>
      <w:r>
        <w:rPr>
          <w:b/>
          <w:bCs/>
          <w:color w:val="000000"/>
        </w:rPr>
        <w:t>KORZYSTANIE Z USŁUG DORADCZYCH PRZEZ ROLNIKÓW                                  I POSIADACZY LASÓW</w:t>
      </w:r>
    </w:p>
    <w:p w:rsidR="00BF72C9" w:rsidRDefault="00BF72C9" w:rsidP="00EA0941">
      <w:pPr>
        <w:jc w:val="both"/>
        <w:rPr>
          <w:color w:val="000000"/>
        </w:rPr>
      </w:pPr>
    </w:p>
    <w:p w:rsidR="00BF72C9" w:rsidRDefault="00BF72C9" w:rsidP="00AF6123">
      <w:pPr>
        <w:ind w:left="360"/>
        <w:jc w:val="both"/>
        <w:rPr>
          <w:color w:val="000000"/>
        </w:rPr>
      </w:pPr>
      <w:r>
        <w:rPr>
          <w:color w:val="000000"/>
        </w:rPr>
        <w:t>Jest to działanie uruchomione pierwszy raz w roku 2009 w ramach Programu Rozwoju Obszarów Wiejskich na lata 2007-2013. W ramach tego działania w poszczególnych latach przyjęliśmy następujące ilości wniosków:</w:t>
      </w:r>
    </w:p>
    <w:p w:rsidR="00BF72C9" w:rsidRPr="00D21C07" w:rsidRDefault="00BF72C9" w:rsidP="00D21C07">
      <w:pPr>
        <w:ind w:left="360"/>
        <w:jc w:val="both"/>
        <w:rPr>
          <w:color w:val="000000"/>
        </w:rPr>
      </w:pPr>
      <w:r>
        <w:rPr>
          <w:color w:val="000000"/>
        </w:rPr>
        <w:t xml:space="preserve">- w 2009 roku zostało złożonych 6 </w:t>
      </w:r>
      <w:r>
        <w:t>wniosków.</w:t>
      </w:r>
    </w:p>
    <w:p w:rsidR="00BF72C9" w:rsidRDefault="00BF72C9" w:rsidP="00AF6123">
      <w:pPr>
        <w:ind w:left="360"/>
        <w:jc w:val="both"/>
        <w:rPr>
          <w:color w:val="000000"/>
        </w:rPr>
      </w:pPr>
      <w:r>
        <w:rPr>
          <w:color w:val="000000"/>
        </w:rPr>
        <w:t>- w 2010 roku zostały złożone 22 wnioski.</w:t>
      </w:r>
    </w:p>
    <w:p w:rsidR="00BF72C9" w:rsidRDefault="00BF72C9" w:rsidP="00AF6123">
      <w:pPr>
        <w:ind w:left="360"/>
        <w:jc w:val="both"/>
        <w:rPr>
          <w:color w:val="000000"/>
        </w:rPr>
      </w:pPr>
      <w:r>
        <w:rPr>
          <w:color w:val="000000"/>
        </w:rPr>
        <w:t xml:space="preserve">- w 2011 roku zostały złożone 53 wnioski. </w:t>
      </w:r>
    </w:p>
    <w:p w:rsidR="00BF72C9" w:rsidRDefault="00BF72C9" w:rsidP="00AF6123">
      <w:pPr>
        <w:ind w:left="360"/>
        <w:jc w:val="both"/>
      </w:pPr>
      <w:r>
        <w:t>- w</w:t>
      </w:r>
      <w:r w:rsidRPr="00761388">
        <w:t xml:space="preserve"> 2012 roku </w:t>
      </w:r>
      <w:r>
        <w:rPr>
          <w:color w:val="000000"/>
        </w:rPr>
        <w:t xml:space="preserve">zostały złożone </w:t>
      </w:r>
      <w:r w:rsidRPr="00761388">
        <w:t>293</w:t>
      </w:r>
      <w:r>
        <w:t xml:space="preserve"> wnioski</w:t>
      </w:r>
      <w:r w:rsidRPr="00761388">
        <w:t xml:space="preserve">. </w:t>
      </w:r>
    </w:p>
    <w:p w:rsidR="00BF72C9" w:rsidRDefault="00BF72C9" w:rsidP="00AF6123">
      <w:pPr>
        <w:ind w:left="360"/>
        <w:jc w:val="both"/>
      </w:pPr>
      <w:r>
        <w:t>- w 2013 roku zostały złożone 43 wnioski.</w:t>
      </w:r>
    </w:p>
    <w:p w:rsidR="00BF72C9" w:rsidRDefault="00BF72C9" w:rsidP="00AF6123">
      <w:pPr>
        <w:ind w:left="360"/>
        <w:jc w:val="both"/>
      </w:pPr>
      <w:r>
        <w:t xml:space="preserve">Kwota jaka w ramach tego działania została przekazana na konta beneficjentów po rozpatrzeniu wniosków o płatność złożonych w 2013 roku wynosi </w:t>
      </w:r>
      <w:r w:rsidRPr="00485DA1">
        <w:rPr>
          <w:b/>
          <w:bCs/>
        </w:rPr>
        <w:t>161 668,17 zł</w:t>
      </w:r>
      <w:r>
        <w:t>.</w:t>
      </w:r>
    </w:p>
    <w:p w:rsidR="00BF72C9" w:rsidRDefault="00BF72C9" w:rsidP="00EC6946">
      <w:pPr>
        <w:pStyle w:val="NormalWeb"/>
        <w:spacing w:before="0" w:beforeAutospacing="0" w:after="0" w:afterAutospacing="0"/>
        <w:ind w:left="360"/>
        <w:jc w:val="both"/>
      </w:pPr>
      <w:r w:rsidRPr="004A11B0">
        <w:t xml:space="preserve">Pomoc </w:t>
      </w:r>
      <w:r>
        <w:t xml:space="preserve">w tym działaniu </w:t>
      </w:r>
      <w:r w:rsidRPr="004A11B0">
        <w:t xml:space="preserve">wynosi 80% poniesionych i udokumentowanych kosztów kwalifikowanych na usługi doradcze zrealizowane po dniu, w którym decyzja w sprawie przyznania pomocy stała się ostateczna, przy czym koszty kwalifikowane to koszty usług doradczych, do których nie zalicza się podatku </w:t>
      </w:r>
      <w:r>
        <w:t>od towarów i usług (VAT). S</w:t>
      </w:r>
      <w:r w:rsidRPr="004A11B0">
        <w:t xml:space="preserve">uma płatności </w:t>
      </w:r>
      <w:r>
        <w:t xml:space="preserve">dla jednego beneficjenta </w:t>
      </w:r>
      <w:r w:rsidRPr="004A11B0">
        <w:t>otrzymywanych w ramach działania w okresie objętym PROW 2007-2013 nie mo</w:t>
      </w:r>
      <w:r>
        <w:t>że przekroczyć, równowartości 1</w:t>
      </w:r>
      <w:r w:rsidRPr="004A11B0">
        <w:t>500 euro</w:t>
      </w:r>
      <w:r>
        <w:t xml:space="preserve"> przeliczonej na złotówki</w:t>
      </w:r>
      <w:r w:rsidRPr="004A11B0">
        <w:t>.</w:t>
      </w:r>
    </w:p>
    <w:p w:rsidR="00BF72C9" w:rsidRDefault="00BF72C9" w:rsidP="00EC6946">
      <w:pPr>
        <w:pStyle w:val="NormalWeb"/>
        <w:spacing w:before="0" w:beforeAutospacing="0" w:after="0" w:afterAutospacing="0"/>
        <w:ind w:left="360"/>
        <w:jc w:val="both"/>
      </w:pPr>
      <w:r>
        <w:t>Beneficjentami tego działania mogą być rolnicy, którzy prowadzą działalność rolniczą          w zakresie produkcji roślinnej, albo w zakresie produkcji roślinnej i zwierzęcej i zawrą            z uprawnionym podmiotem doradczym umowę o świadczenie usług doradczych, która to umowa zawierać musi przynajmniej usługę kompleksową oceny gospodarstwa rolnego          w zakresie spełniania wymogów wzajemnej zgodności oraz usługę polegającą na ocenie  gospodarstwa rolnego w zakresie spełniania zasad BHP. Natomiast od beneficjenta ubiegającego się o przyznanie pomocy na świadczenie usług doradczych dla posiadaczy lasów wymaga się, aby w roku poprzedzającym złożenie wniosku o przyznanie pomocy był podatnikiem podatku leśnego oraz zawarł z uprawnionym podmiotem doradczym umowę na świadczenie jednej z usług doradczych, przewidzianych w ramach tego doradztwa w stosownym rozporządzeniu Ministra Rolnictwa i Rozwoju Wsi.</w:t>
      </w:r>
    </w:p>
    <w:p w:rsidR="00BF72C9" w:rsidRDefault="00BF72C9" w:rsidP="00233BA2">
      <w:pPr>
        <w:ind w:left="360"/>
        <w:jc w:val="both"/>
        <w:rPr>
          <w:color w:val="000000"/>
        </w:rPr>
      </w:pPr>
    </w:p>
    <w:p w:rsidR="00BF72C9" w:rsidRDefault="00BF72C9" w:rsidP="00A924B0">
      <w:pPr>
        <w:numPr>
          <w:ilvl w:val="0"/>
          <w:numId w:val="14"/>
        </w:numPr>
        <w:tabs>
          <w:tab w:val="clear" w:pos="780"/>
          <w:tab w:val="num" w:pos="360"/>
        </w:tabs>
        <w:ind w:left="360"/>
        <w:jc w:val="both"/>
        <w:rPr>
          <w:b/>
          <w:bCs/>
          <w:color w:val="000000"/>
        </w:rPr>
      </w:pPr>
      <w:r w:rsidRPr="008875CE">
        <w:rPr>
          <w:b/>
          <w:bCs/>
          <w:color w:val="000000"/>
        </w:rPr>
        <w:t>RENTY STRUKTURALNE</w:t>
      </w:r>
    </w:p>
    <w:p w:rsidR="00BF72C9" w:rsidRPr="008875CE" w:rsidRDefault="00BF72C9" w:rsidP="00A924B0">
      <w:pPr>
        <w:jc w:val="both"/>
        <w:rPr>
          <w:b/>
          <w:bCs/>
          <w:color w:val="000000"/>
        </w:rPr>
      </w:pPr>
    </w:p>
    <w:p w:rsidR="00BF72C9" w:rsidRDefault="00BF72C9" w:rsidP="00A924B0">
      <w:pPr>
        <w:ind w:left="360"/>
        <w:jc w:val="both"/>
        <w:rPr>
          <w:color w:val="000000"/>
        </w:rPr>
      </w:pPr>
      <w:r>
        <w:t>Realizacja w/w działania</w:t>
      </w:r>
      <w:r w:rsidRPr="00DB1026">
        <w:t xml:space="preserve"> </w:t>
      </w:r>
      <w:r>
        <w:t>rozpoczęła</w:t>
      </w:r>
      <w:r w:rsidRPr="00DB1026">
        <w:t xml:space="preserve"> się 2 sierpnia 2004 r</w:t>
      </w:r>
      <w:r>
        <w:t>. w ramach Planu Rozwoju Obszarów Wiejskich na lata 2004-2006</w:t>
      </w:r>
      <w:r w:rsidRPr="00DB1026">
        <w:t xml:space="preserve">. </w:t>
      </w:r>
      <w:r>
        <w:rPr>
          <w:color w:val="000000"/>
        </w:rPr>
        <w:t>Renty strukturalne miały</w:t>
      </w:r>
      <w:r w:rsidRPr="00DB1026">
        <w:rPr>
          <w:color w:val="000000"/>
        </w:rPr>
        <w:t xml:space="preserve"> na celu zapewnienie dochodu rolnikom, którzy zdecydują się zrezygnować z prowadzenia działalności rolniczej w gospodarstwie rolnym. Wielkość renty strukturalnej wynosi</w:t>
      </w:r>
      <w:r>
        <w:rPr>
          <w:color w:val="000000"/>
        </w:rPr>
        <w:t>ła</w:t>
      </w:r>
      <w:r w:rsidRPr="00DB1026">
        <w:rPr>
          <w:color w:val="000000"/>
        </w:rPr>
        <w:t xml:space="preserve"> od 21</w:t>
      </w:r>
      <w:r>
        <w:rPr>
          <w:color w:val="000000"/>
        </w:rPr>
        <w:t xml:space="preserve">0%               do 440% najniższej emerytury. Ogólnie w latach 2004-2006 zostały przyjęte 244 wnioski, które zakończyły się wydaniem postanowień i decyzji. </w:t>
      </w:r>
    </w:p>
    <w:p w:rsidR="00BF72C9" w:rsidRDefault="00BF72C9" w:rsidP="00485DA1">
      <w:pPr>
        <w:ind w:left="360"/>
        <w:jc w:val="both"/>
        <w:rPr>
          <w:color w:val="000000"/>
        </w:rPr>
      </w:pPr>
      <w:r>
        <w:rPr>
          <w:color w:val="000000"/>
        </w:rPr>
        <w:t xml:space="preserve">25 czerwca 2007 roku rozpoczęliśmy nabór wniosków na to działanie w ramach nowego Programu Rozwoju Obszarów Wiejskich (PROW) na lata 2007-2013. Cel dla jakiego zostało uruchomione to działanie pozostał taki sam jak w latach poprzednich, lecz zmieniły się kryteria dostępu i wysokość renty strukturalnej. W ramach PROW na lata 2007-2013 łącznie przyjęliśmy 36 wniosków. Wysokość renty dla wniosków przyjętych  w oparciu o w/w kryteria wahała się w granicach od 150% do 265% najniższej emerytury (na dzień dzisiejszy kwota najniższej emerytury </w:t>
      </w:r>
      <w:r w:rsidRPr="00BC0018">
        <w:t xml:space="preserve">to </w:t>
      </w:r>
      <w:r w:rsidRPr="00470DF4">
        <w:rPr>
          <w:b/>
          <w:bCs/>
          <w:color w:val="FF0000"/>
        </w:rPr>
        <w:t>844,45</w:t>
      </w:r>
      <w:r w:rsidRPr="003314EF">
        <w:t xml:space="preserve"> </w:t>
      </w:r>
      <w:r w:rsidRPr="00470DF4">
        <w:rPr>
          <w:b/>
          <w:bCs/>
        </w:rPr>
        <w:t>zł</w:t>
      </w:r>
      <w:r w:rsidRPr="003314EF">
        <w:t>).</w:t>
      </w:r>
      <w:r>
        <w:t xml:space="preserve"> W roku 2010 </w:t>
      </w:r>
      <w:r>
        <w:rPr>
          <w:color w:val="000000"/>
        </w:rPr>
        <w:t>wnioski były przyjmowane w oparciu o nowe zasady i były rozpatrywane nie pod względem kolejności ich złożenia, ale na podstawie kolejności ustalonej podczas ich punktacji. Nowością była także wysokość renty, która została określona kwotowo a nie procentowo, a jej wysokość jest stała przez cały okres wypłaty i tak:</w:t>
      </w:r>
    </w:p>
    <w:p w:rsidR="00BF72C9" w:rsidRDefault="00BF72C9" w:rsidP="00485DA1">
      <w:pPr>
        <w:numPr>
          <w:ilvl w:val="0"/>
          <w:numId w:val="25"/>
        </w:numPr>
        <w:jc w:val="both"/>
        <w:rPr>
          <w:color w:val="000000"/>
        </w:rPr>
      </w:pPr>
      <w:r>
        <w:rPr>
          <w:color w:val="000000"/>
        </w:rPr>
        <w:t>podstawowa kwota renty strukturalnej wynosi: 1013 zł,</w:t>
      </w:r>
    </w:p>
    <w:p w:rsidR="00BF72C9" w:rsidRDefault="00BF72C9" w:rsidP="00485DA1">
      <w:pPr>
        <w:numPr>
          <w:ilvl w:val="0"/>
          <w:numId w:val="25"/>
        </w:numPr>
        <w:jc w:val="both"/>
        <w:rPr>
          <w:color w:val="000000"/>
        </w:rPr>
      </w:pPr>
      <w:r>
        <w:rPr>
          <w:color w:val="000000"/>
        </w:rPr>
        <w:t xml:space="preserve">dodatek na małżonka </w:t>
      </w:r>
      <w:r w:rsidRPr="00500175">
        <w:rPr>
          <w:i/>
          <w:iCs/>
          <w:color w:val="000000"/>
          <w:sz w:val="20"/>
          <w:szCs w:val="20"/>
        </w:rPr>
        <w:t>(jeśli spełnia warunki takie jak wnioskodawca)</w:t>
      </w:r>
      <w:r>
        <w:rPr>
          <w:color w:val="000000"/>
        </w:rPr>
        <w:t xml:space="preserve"> wynosi: 676 zł,</w:t>
      </w:r>
    </w:p>
    <w:p w:rsidR="00BF72C9" w:rsidRDefault="00BF72C9" w:rsidP="00485DA1">
      <w:pPr>
        <w:numPr>
          <w:ilvl w:val="0"/>
          <w:numId w:val="25"/>
        </w:numPr>
        <w:jc w:val="both"/>
        <w:rPr>
          <w:color w:val="000000"/>
        </w:rPr>
      </w:pPr>
      <w:r>
        <w:rPr>
          <w:color w:val="000000"/>
        </w:rPr>
        <w:t>dodatek za przekazanie powyżej 10 ha UR osobie w wieku poniżej 40 lat: 102 zł.</w:t>
      </w:r>
    </w:p>
    <w:p w:rsidR="00BF72C9" w:rsidRDefault="00BF72C9" w:rsidP="00485DA1">
      <w:pPr>
        <w:ind w:left="360"/>
        <w:jc w:val="both"/>
        <w:rPr>
          <w:color w:val="000000"/>
        </w:rPr>
      </w:pPr>
      <w:r>
        <w:rPr>
          <w:color w:val="000000"/>
        </w:rPr>
        <w:t>Kolejną zmianą było to, że następcą w tym działaniu mogła być tylko i wyłącznie osoba, która skorzysta z działania „Ułatwienie startu młodym rolnikom”. Wzrosła również powierzchnia przekazywanego gospodarstwa z min. 3 ha do powierzchni 6 ha.</w:t>
      </w:r>
    </w:p>
    <w:p w:rsidR="00BF72C9" w:rsidRDefault="00BF72C9" w:rsidP="00485DA1">
      <w:pPr>
        <w:ind w:left="360"/>
        <w:jc w:val="both"/>
        <w:rPr>
          <w:color w:val="000000"/>
        </w:rPr>
      </w:pPr>
      <w:r>
        <w:rPr>
          <w:color w:val="000000"/>
        </w:rPr>
        <w:t>W latach 2011 i 2013 nie prowadziliśmy naboru wniosków na to działanie, ze względu                  na wyczerpanie środków finansowych przeznaczonych na ten program w ramach                PROW 2007-2013.</w:t>
      </w:r>
    </w:p>
    <w:p w:rsidR="00BF72C9" w:rsidRDefault="00BF72C9" w:rsidP="00A924B0">
      <w:pPr>
        <w:ind w:left="360"/>
        <w:jc w:val="both"/>
      </w:pPr>
      <w:r>
        <w:t>Łącznie w ramach PROW 2004-2006 i PROW 2007-2013 przyjęliśmy 280 wniosków               z czego na dzień dzisiejszy obsługujemy 247 wniosków. Z wyżej przytoczonych cyfr wynika, iż definitywnie zakończyliśmy obsługę 33 spraw.</w:t>
      </w:r>
    </w:p>
    <w:p w:rsidR="00BF72C9" w:rsidRDefault="00BF72C9" w:rsidP="008D7852">
      <w:pPr>
        <w:ind w:left="360"/>
        <w:jc w:val="both"/>
        <w:rPr>
          <w:color w:val="000000"/>
        </w:rPr>
      </w:pPr>
      <w:r>
        <w:rPr>
          <w:color w:val="000000"/>
        </w:rPr>
        <w:t xml:space="preserve">Mimo tego, iż nie prowadzimy obecnie naboru wniosków na to działanie, to nie znaczy, że to działanie nie wymaga zaangażowania w jego obsługę. Jako Biuro Powiatowe ARiMR jesteśmy zobowiązani do comiesięcznego przekazywania dokumentów              do Centrali ARiMR w Warszawie, celem realizacji wypłat rent, co odbywa się na bieżąco i nie ma tu jakichkolwiek opóźnień, a także przeprowadzania corocznie waloryzacji wysokości wypłacanej renty strukturalnej z wyłączeniem wniosków złożonych w roku 2010. Kwota </w:t>
      </w:r>
      <w:r>
        <w:t xml:space="preserve">jaka w ramach tego działania została przekazana na konta beneficjentów          w 2013 roku wynosi prawie </w:t>
      </w:r>
      <w:r w:rsidRPr="006D03F4">
        <w:rPr>
          <w:b/>
          <w:bCs/>
        </w:rPr>
        <w:t>6 milionów zł</w:t>
      </w:r>
      <w:r>
        <w:t>.</w:t>
      </w:r>
    </w:p>
    <w:p w:rsidR="00BF72C9" w:rsidRDefault="00BF72C9" w:rsidP="00EA0941">
      <w:pPr>
        <w:jc w:val="both"/>
        <w:rPr>
          <w:color w:val="000000"/>
        </w:rPr>
      </w:pPr>
    </w:p>
    <w:p w:rsidR="00BF72C9" w:rsidRDefault="00BF72C9" w:rsidP="00EA0941">
      <w:pPr>
        <w:numPr>
          <w:ilvl w:val="0"/>
          <w:numId w:val="14"/>
        </w:numPr>
        <w:tabs>
          <w:tab w:val="clear" w:pos="780"/>
          <w:tab w:val="num" w:pos="360"/>
        </w:tabs>
        <w:ind w:left="360"/>
        <w:jc w:val="both"/>
        <w:rPr>
          <w:b/>
          <w:bCs/>
          <w:color w:val="000000"/>
        </w:rPr>
      </w:pPr>
      <w:r w:rsidRPr="00A31DA4">
        <w:rPr>
          <w:b/>
          <w:bCs/>
          <w:color w:val="000000"/>
        </w:rPr>
        <w:t>WSPIERANIE PRZEDSIĘWZIĘĆ ROLNOŚRODOWISKOWYCH I POPRAWY DOBROSTANU ZWIERZĄT</w:t>
      </w:r>
      <w:r>
        <w:rPr>
          <w:b/>
          <w:bCs/>
          <w:color w:val="000000"/>
        </w:rPr>
        <w:t xml:space="preserve"> (PROW 2004-2006) ORAZ PŁATNOŚCI ROLNOŚRODOWISKOWE (PROW 2007-2013)</w:t>
      </w:r>
    </w:p>
    <w:p w:rsidR="00BF72C9" w:rsidRPr="00A31DA4" w:rsidRDefault="00BF72C9" w:rsidP="00C50F32">
      <w:pPr>
        <w:jc w:val="both"/>
        <w:rPr>
          <w:b/>
          <w:bCs/>
          <w:color w:val="000000"/>
        </w:rPr>
      </w:pPr>
    </w:p>
    <w:p w:rsidR="00BF72C9" w:rsidRDefault="00BF72C9" w:rsidP="000C6D43">
      <w:pPr>
        <w:ind w:left="360"/>
        <w:jc w:val="both"/>
      </w:pPr>
      <w:r>
        <w:t>Płatności w zakresie wspierania przedsięwzięć rolnośrodowiskowych i poprawy dobrostanu zwierząt zaczęliśmy realizować w ramach Planu Rozwoju Obszarów Wiejskich (PROW) na lata 2004-2006 od 1 września 2004 roku. Rolnik składając wniosek przyjmował na siebie zobowiązanie do uczestnictwa w tym programie przez 5 lat a Biuro Powiatowe ARiMR wypłacało dotację każdego roku po złożeniu przez rolnika wniosku kontynuacyjnego. W latach 2004-2006 przyjęliśmy łącznie 72 wnioski, które na podstawie wniosków kontynuacyjnych składanych co rok obsługiwaliśmy przez 5 lat,                     a których obsługę już zakończyliśmy.</w:t>
      </w:r>
    </w:p>
    <w:p w:rsidR="00BF72C9" w:rsidRPr="00633354" w:rsidRDefault="00BF72C9" w:rsidP="00053B66">
      <w:pPr>
        <w:ind w:left="360"/>
        <w:jc w:val="both"/>
        <w:rPr>
          <w:sz w:val="16"/>
          <w:szCs w:val="16"/>
        </w:rPr>
      </w:pPr>
    </w:p>
    <w:p w:rsidR="00BF72C9" w:rsidRPr="00053B66" w:rsidRDefault="00BF72C9" w:rsidP="00053B66">
      <w:pPr>
        <w:ind w:left="360"/>
        <w:jc w:val="both"/>
      </w:pPr>
      <w:r>
        <w:t>W ramach obecnie realizowanego Programu Rozwoju Obszarów Wiejskich na lata             2007-2013 w ramach działania Płatności Rolnośrodowiskowe rolnik podobnie jak                  w poprzednim okresie programowania przyjmuje na siebie zobowiązanie do uczestnictwa w tym programie przez 5 lat.</w:t>
      </w:r>
    </w:p>
    <w:p w:rsidR="00BF72C9" w:rsidRPr="00633354" w:rsidRDefault="00BF72C9" w:rsidP="00EB58AE">
      <w:pPr>
        <w:jc w:val="both"/>
        <w:rPr>
          <w:color w:val="000000"/>
          <w:sz w:val="16"/>
          <w:szCs w:val="16"/>
        </w:rPr>
      </w:pPr>
    </w:p>
    <w:p w:rsidR="00BF72C9" w:rsidRDefault="00BF72C9" w:rsidP="00F022CA">
      <w:pPr>
        <w:ind w:left="360"/>
        <w:jc w:val="both"/>
      </w:pPr>
      <w:r>
        <w:t xml:space="preserve">Wnioski nowe z 2013 roku i kontynuacyjne z lat poprzednich złożone w ramach tego programu w większości zostały rozpatrzone i zostały wydane stosowne decyzje rolnikom. W ramach tego programu łącznie zostało przyjęte </w:t>
      </w:r>
      <w:r w:rsidRPr="00711208">
        <w:rPr>
          <w:b/>
          <w:bCs/>
        </w:rPr>
        <w:t>2</w:t>
      </w:r>
      <w:r>
        <w:rPr>
          <w:b/>
          <w:bCs/>
        </w:rPr>
        <w:t>50</w:t>
      </w:r>
      <w:r w:rsidRPr="008D7852">
        <w:t xml:space="preserve"> </w:t>
      </w:r>
      <w:r>
        <w:t xml:space="preserve">wniosków, które są na bieżąco obsługiwane. Na dzień dzisiejszy wydaliśmy </w:t>
      </w:r>
      <w:r w:rsidRPr="00711208">
        <w:rPr>
          <w:b/>
          <w:bCs/>
        </w:rPr>
        <w:t>2</w:t>
      </w:r>
      <w:r>
        <w:rPr>
          <w:b/>
          <w:bCs/>
        </w:rPr>
        <w:t>42</w:t>
      </w:r>
      <w:r>
        <w:t xml:space="preserve"> decyzje </w:t>
      </w:r>
      <w:r w:rsidRPr="00AD446F">
        <w:t xml:space="preserve">tj. ok. </w:t>
      </w:r>
      <w:r>
        <w:rPr>
          <w:b/>
          <w:bCs/>
        </w:rPr>
        <w:t>97</w:t>
      </w:r>
      <w:r w:rsidRPr="00B22A25">
        <w:rPr>
          <w:b/>
          <w:bCs/>
        </w:rPr>
        <w:t>%</w:t>
      </w:r>
      <w:r w:rsidRPr="00AD446F">
        <w:t xml:space="preserve"> w stosunku do całości spraw obsługi</w:t>
      </w:r>
      <w:r>
        <w:t>wanych przez Biuro Powiatowe ARi</w:t>
      </w:r>
      <w:r w:rsidRPr="00AD446F">
        <w:t>MR w Turku</w:t>
      </w:r>
      <w:r>
        <w:t xml:space="preserve">. Wszystkie wydane do tej chwili decyzje rolnośrodowiskowe znalazły się na zatwierdzonych listach zleceń płatności, które zostały przesłane do Departamentu Finansowego i Departamentu Księgowości w Centrali ARiMR, celem realizacji przelewów na konta rolników – beneficjentów tego działania. W chwili obecnej </w:t>
      </w:r>
      <w:r>
        <w:rPr>
          <w:b/>
          <w:bCs/>
        </w:rPr>
        <w:t>8</w:t>
      </w:r>
      <w:r>
        <w:t xml:space="preserve"> spraw wymaga dalszej obsługi i są to    z reguły sprawy dotyczące rolników u których przeprowadzono w gospodarstwie kontrolę na miejscu.</w:t>
      </w:r>
    </w:p>
    <w:p w:rsidR="00BF72C9" w:rsidRDefault="00BF72C9" w:rsidP="00F022CA">
      <w:pPr>
        <w:ind w:left="360"/>
        <w:jc w:val="both"/>
      </w:pPr>
      <w:r>
        <w:t xml:space="preserve">Kwota jaka w ramach tego działania została przekazana na konta beneficjentów w oparciu o wnioski nowe i kontynuacyjne złożone w 2013 roku wynosi </w:t>
      </w:r>
      <w:r w:rsidRPr="004B5365">
        <w:rPr>
          <w:b/>
          <w:bCs/>
        </w:rPr>
        <w:t>1 342 484,34 zł</w:t>
      </w:r>
      <w:r>
        <w:t>.</w:t>
      </w:r>
    </w:p>
    <w:p w:rsidR="00BF72C9" w:rsidRPr="001E48E7" w:rsidRDefault="00BF72C9" w:rsidP="00F022CA">
      <w:pPr>
        <w:ind w:left="360"/>
        <w:jc w:val="both"/>
      </w:pPr>
      <w:r w:rsidRPr="00053B66">
        <w:t>Uczestnictwo w Programie Rolnośrodowiskowym</w:t>
      </w:r>
      <w:r>
        <w:rPr>
          <w:color w:val="000000"/>
        </w:rPr>
        <w:t xml:space="preserve">, polega </w:t>
      </w:r>
      <w:r w:rsidRPr="00FD6637">
        <w:rPr>
          <w:color w:val="000000"/>
        </w:rPr>
        <w:t>na dobrowolnej realizacji przez rolnika działań, które mają się przyczynić do promocji systemów produkcji rolniczej, zgodnych z wymogami ochrony środowiska</w:t>
      </w:r>
      <w:r>
        <w:rPr>
          <w:color w:val="000000"/>
        </w:rPr>
        <w:t>,</w:t>
      </w:r>
      <w:r w:rsidRPr="00FD6637">
        <w:rPr>
          <w:color w:val="000000"/>
        </w:rPr>
        <w:t xml:space="preserve"> oraz ochrony zasobów genetycznych zwierząt gospodarskich</w:t>
      </w:r>
      <w:r>
        <w:rPr>
          <w:color w:val="000000"/>
        </w:rPr>
        <w:t xml:space="preserve">. Nabór wniosków dla chcących skorzystać z tego programu odbywa się w tym samym terminie, co nabór wniosków na dopłaty obszarowe i ONW, czyli od 15 marca do 15 maja danego roku. Wnioski obszarowe, ONW                                     i rolnośrodowiskowe nie tylko są składane w tym samym okresie, ale w celu ułatwienia beneficjentom składania tych wniosków od roku </w:t>
      </w:r>
      <w:r w:rsidRPr="002571B8">
        <w:t>2010</w:t>
      </w:r>
      <w:r>
        <w:rPr>
          <w:color w:val="000000"/>
        </w:rPr>
        <w:t xml:space="preserve"> połączono możliwość skorzystania z tych wszystkich działań w jeden wniosek, co znacznie ułatwia wypełnianie takiego wniosku, no i sam proces aplikowania o środki pomocowe, czy też wyjaśniania nieprawidłowości. Warunkiem koniecznym jaki należy spełnić przed złożeniem w/w wniosku jest opracowanie planu działalności rolnośrodowiskowej przez uprawnionego doradcę rolnośrodowiskowego i realizacja jego zapisów. Program ten zawiera 9 pakietów i </w:t>
      </w:r>
      <w:r w:rsidRPr="00F750F4">
        <w:rPr>
          <w:b/>
          <w:bCs/>
          <w:color w:val="FF0000"/>
        </w:rPr>
        <w:t>51</w:t>
      </w:r>
      <w:r>
        <w:rPr>
          <w:color w:val="000000"/>
        </w:rPr>
        <w:t xml:space="preserve"> wariantów w obrębie poszczególnych pakietów. Zainteresowanych szczegółami tego programu zapraszam do odwiedzenia naszej strony internetowej </w:t>
      </w:r>
      <w:hyperlink r:id="rId10" w:history="1">
        <w:r w:rsidRPr="00B14F2C">
          <w:rPr>
            <w:rStyle w:val="Hyperlink"/>
          </w:rPr>
          <w:t>www.arimr.gov.pl</w:t>
        </w:r>
      </w:hyperlink>
      <w:r>
        <w:rPr>
          <w:u w:val="single"/>
        </w:rPr>
        <w:t xml:space="preserve"> </w:t>
      </w:r>
      <w:r>
        <w:t>, gdzie można zapoznać się nie tylko z tym programem, ale także z innymi programami                      i działaniami realizowanymi przez Agencję Restrukturyzacji i Modernizacji Rolnictwa.</w:t>
      </w:r>
    </w:p>
    <w:p w:rsidR="00BF72C9" w:rsidRDefault="00BF72C9" w:rsidP="00EA0941">
      <w:pPr>
        <w:jc w:val="both"/>
        <w:rPr>
          <w:color w:val="000000"/>
        </w:rPr>
      </w:pPr>
    </w:p>
    <w:p w:rsidR="00BF72C9" w:rsidRDefault="00BF72C9" w:rsidP="00EA0941">
      <w:pPr>
        <w:jc w:val="both"/>
        <w:rPr>
          <w:color w:val="000000"/>
        </w:rPr>
      </w:pPr>
    </w:p>
    <w:p w:rsidR="00BF72C9" w:rsidRDefault="00BF72C9" w:rsidP="00EA0941">
      <w:pPr>
        <w:numPr>
          <w:ilvl w:val="0"/>
          <w:numId w:val="14"/>
        </w:numPr>
        <w:tabs>
          <w:tab w:val="clear" w:pos="780"/>
          <w:tab w:val="num" w:pos="360"/>
        </w:tabs>
        <w:ind w:left="360"/>
        <w:jc w:val="both"/>
        <w:rPr>
          <w:b/>
          <w:bCs/>
          <w:color w:val="000000"/>
        </w:rPr>
      </w:pPr>
      <w:r w:rsidRPr="0087050D">
        <w:rPr>
          <w:b/>
          <w:bCs/>
          <w:color w:val="000000"/>
        </w:rPr>
        <w:t>ZALESIANIE GRUNTÓW ROLNYCH</w:t>
      </w:r>
      <w:r>
        <w:rPr>
          <w:b/>
          <w:bCs/>
          <w:color w:val="000000"/>
        </w:rPr>
        <w:t xml:space="preserve"> ORAZ GRUNTÓW INNYCH NIŻ ROLNE </w:t>
      </w:r>
    </w:p>
    <w:p w:rsidR="00BF72C9" w:rsidRDefault="00BF72C9" w:rsidP="000F6C5C">
      <w:pPr>
        <w:jc w:val="both"/>
        <w:rPr>
          <w:b/>
          <w:bCs/>
          <w:color w:val="000000"/>
        </w:rPr>
      </w:pPr>
    </w:p>
    <w:p w:rsidR="00BF72C9" w:rsidRDefault="00BF72C9" w:rsidP="00867982">
      <w:pPr>
        <w:ind w:left="360"/>
        <w:jc w:val="both"/>
        <w:rPr>
          <w:color w:val="000000"/>
        </w:rPr>
      </w:pPr>
      <w:r>
        <w:t xml:space="preserve">Od 1 września 2004 r. w ramach Planu Rozwoju Obszarów Wiejskich (PROW) na lata 2004-2006 rozpoczęliśmy nabór wniosków związanych z działaniem Zalesianie Gruntów Rolnych. W latach 2004-2006 przyjęliśmy 32 wnioski zalesieniowe, we wszystkich sprawach wydane zostały postanowienia i decyzje. </w:t>
      </w:r>
      <w:r w:rsidRPr="004B1EF1">
        <w:rPr>
          <w:color w:val="000000"/>
        </w:rPr>
        <w:t>Założeniem działania jest wsparcie procesu zalesiania gruntów użytkowanych rolniczo nie</w:t>
      </w:r>
      <w:r>
        <w:rPr>
          <w:color w:val="000000"/>
        </w:rPr>
        <w:t>należących</w:t>
      </w:r>
      <w:r w:rsidRPr="004B1EF1">
        <w:rPr>
          <w:color w:val="000000"/>
        </w:rPr>
        <w:t xml:space="preserve"> do Skarbu Państwa, </w:t>
      </w:r>
      <w:r>
        <w:rPr>
          <w:color w:val="000000"/>
        </w:rPr>
        <w:t xml:space="preserve">           </w:t>
      </w:r>
      <w:r w:rsidRPr="004B1EF1">
        <w:rPr>
          <w:color w:val="000000"/>
        </w:rPr>
        <w:t>a także zapewnienie odpowiedniej pielęgnacji nowych nasadzeń</w:t>
      </w:r>
      <w:r>
        <w:rPr>
          <w:color w:val="000000"/>
        </w:rPr>
        <w:t>,</w:t>
      </w:r>
      <w:r w:rsidRPr="004B1EF1">
        <w:rPr>
          <w:color w:val="000000"/>
        </w:rPr>
        <w:t xml:space="preserve"> we wczesnych etapach ich rozwoju. Działanie jest realizowane w oparciu o potrzeby zalesieniowe zgodne </w:t>
      </w:r>
      <w:r>
        <w:rPr>
          <w:color w:val="000000"/>
        </w:rPr>
        <w:t xml:space="preserve">                 </w:t>
      </w:r>
      <w:r w:rsidRPr="004B1EF1">
        <w:rPr>
          <w:color w:val="000000"/>
        </w:rPr>
        <w:t>z Krajowym Programem Zwiększania Lesistości.</w:t>
      </w:r>
      <w:r>
        <w:rPr>
          <w:color w:val="000000"/>
        </w:rPr>
        <w:t xml:space="preserve"> </w:t>
      </w:r>
      <w:r w:rsidRPr="004B1EF1">
        <w:rPr>
          <w:color w:val="000000"/>
        </w:rPr>
        <w:t>Zalesi</w:t>
      </w:r>
      <w:r>
        <w:rPr>
          <w:color w:val="000000"/>
        </w:rPr>
        <w:t>enia dokonuje się na podstawie P</w:t>
      </w:r>
      <w:r w:rsidRPr="004B1EF1">
        <w:rPr>
          <w:color w:val="000000"/>
        </w:rPr>
        <w:t xml:space="preserve">lanu </w:t>
      </w:r>
      <w:r>
        <w:rPr>
          <w:color w:val="000000"/>
        </w:rPr>
        <w:t>Zalesienia sporządzonego przez N</w:t>
      </w:r>
      <w:r w:rsidRPr="004B1EF1">
        <w:rPr>
          <w:color w:val="000000"/>
        </w:rPr>
        <w:t>adleśniczego</w:t>
      </w:r>
      <w:r>
        <w:rPr>
          <w:color w:val="000000"/>
        </w:rPr>
        <w:t>. W ramach obecnego Programu Rozwoju Obszarów Wiejskich na lata 2007-2013 dla działania Zalesianie Gruntów Rolnych oraz Gruntów Innych niż Rolne w ramach PROW 2007-2013 przyjęliśmy łącznie 44 wnioski. Dla złożonych wniosków wydaliśmy postanowienia o spełnieniu warunków do zalesienia, oraz zostały wydane dla tych wniosków decyzje przyznające płatność po zalesieniu przez beneficjentów zgłoszonych gruntów i złożeniu przez nich oświadczeń           o wykonaniu zalesienia.</w:t>
      </w:r>
    </w:p>
    <w:p w:rsidR="00BF72C9" w:rsidRDefault="00BF72C9" w:rsidP="00867982">
      <w:pPr>
        <w:ind w:left="360"/>
        <w:jc w:val="both"/>
        <w:rPr>
          <w:color w:val="000000"/>
        </w:rPr>
      </w:pPr>
    </w:p>
    <w:p w:rsidR="00BF72C9" w:rsidRDefault="00BF72C9" w:rsidP="00867982">
      <w:pPr>
        <w:ind w:left="360"/>
        <w:jc w:val="both"/>
        <w:rPr>
          <w:color w:val="000000"/>
        </w:rPr>
      </w:pPr>
      <w:r>
        <w:t>Jak wynika z wyżej przytoczonych liczb na dzień dzisiejszy obsługujemy 72 wnioski kontynuacyjne i 4 wnioski nowe – pierwszoroczne złożone w 2013 roku.</w:t>
      </w:r>
    </w:p>
    <w:p w:rsidR="00BF72C9" w:rsidRDefault="00BF72C9" w:rsidP="00867982">
      <w:pPr>
        <w:ind w:left="360"/>
        <w:jc w:val="both"/>
      </w:pPr>
      <w:r>
        <w:t xml:space="preserve">Kwota jaka w ramach tego działania została przekazana na konta beneficjentów w 2013 roku w oparciu o wnioski pierwszoroczne jak i wnioski kontynuacyjne wynosi                    </w:t>
      </w:r>
      <w:r w:rsidRPr="00152EA8">
        <w:rPr>
          <w:b/>
          <w:bCs/>
        </w:rPr>
        <w:t>259</w:t>
      </w:r>
      <w:r>
        <w:rPr>
          <w:b/>
          <w:bCs/>
        </w:rPr>
        <w:t xml:space="preserve"> </w:t>
      </w:r>
      <w:r w:rsidRPr="00152EA8">
        <w:rPr>
          <w:b/>
          <w:bCs/>
        </w:rPr>
        <w:t>902,30 zł</w:t>
      </w:r>
      <w:r>
        <w:t>.</w:t>
      </w:r>
    </w:p>
    <w:p w:rsidR="00BF72C9" w:rsidRDefault="00BF72C9" w:rsidP="00867982">
      <w:pPr>
        <w:ind w:left="360"/>
        <w:jc w:val="both"/>
      </w:pPr>
    </w:p>
    <w:p w:rsidR="00BF72C9" w:rsidRDefault="00BF72C9" w:rsidP="00867982">
      <w:pPr>
        <w:ind w:left="360"/>
        <w:jc w:val="both"/>
      </w:pPr>
    </w:p>
    <w:p w:rsidR="00BF72C9" w:rsidRDefault="00BF72C9" w:rsidP="00867982">
      <w:pPr>
        <w:ind w:left="360"/>
        <w:jc w:val="both"/>
      </w:pPr>
      <w:r>
        <w:t>Pomoc finansowa na zalesianie gruntów rolnych udzielana jest w trzech transzach:</w:t>
      </w:r>
    </w:p>
    <w:p w:rsidR="00BF72C9" w:rsidRDefault="00BF72C9" w:rsidP="00867982">
      <w:pPr>
        <w:ind w:left="360"/>
        <w:jc w:val="both"/>
      </w:pPr>
    </w:p>
    <w:p w:rsidR="00BF72C9" w:rsidRDefault="00BF72C9" w:rsidP="00B93C97">
      <w:pPr>
        <w:pStyle w:val="ListParagraph"/>
        <w:numPr>
          <w:ilvl w:val="0"/>
          <w:numId w:val="34"/>
        </w:numPr>
        <w:ind w:left="709" w:hanging="283"/>
        <w:jc w:val="both"/>
      </w:pPr>
      <w:r>
        <w:t xml:space="preserve">Pierwsza z nich to </w:t>
      </w:r>
      <w:r w:rsidRPr="00B93C97">
        <w:rPr>
          <w:b/>
          <w:bCs/>
        </w:rPr>
        <w:t>wparcie na zalesianie</w:t>
      </w:r>
      <w:r>
        <w:t>, czyli jednorazowy ryczałt za poniesione koszty zalesienia i ewentualnie ogrodzenia uprawy leśnej, wypłacany w pierwszym roku po wykonaniu zalesienia. Kwota pomocy przyznawanej w ramach wsparcia wynosi od 4160 do 6260 zł/ha. Dodatkowo można również uzyskać płatność za wykonanie zaleconego przez nadleśniczego, ogrodzenia młodej uprawy leśnej                2-metrową siatką metalową, w kwocie 2590 zł/ha lub 6,50 zł za metr bieżący wykonanego ogrodzenia.</w:t>
      </w:r>
    </w:p>
    <w:p w:rsidR="00BF72C9" w:rsidRPr="00B93C97" w:rsidRDefault="00BF72C9" w:rsidP="00B93C97">
      <w:pPr>
        <w:pStyle w:val="ListParagraph"/>
        <w:numPr>
          <w:ilvl w:val="0"/>
          <w:numId w:val="34"/>
        </w:numPr>
        <w:ind w:left="709" w:hanging="283"/>
        <w:jc w:val="both"/>
        <w:rPr>
          <w:color w:val="000000"/>
        </w:rPr>
      </w:pPr>
      <w:r>
        <w:t xml:space="preserve">Druga transza to </w:t>
      </w:r>
      <w:r w:rsidRPr="00B93C97">
        <w:rPr>
          <w:b/>
          <w:bCs/>
        </w:rPr>
        <w:t>premia pielęgnacyjna</w:t>
      </w:r>
      <w:r>
        <w:t>, czyli zryczałtowana płatność do hektara zalesionych gruntów, z tym, że jest ona wypłacana przez 5 lat. Wysokość wypłacanej premii obejmuje koszty prac pielęgnacyjnych określonych w planie zalesienia, w tym przede wszystkim: odchwaszczanie, czyszczenie wczesne oraz ochronę sadzonek przed zwierzyną. Kwota pomocy przyznawana rocznie w ramach premii pielęgnacyjnej wynosi 970 zł/ha lub 1360 zł/ha na gruntach o nachyleniu terenu powyżej 12</w:t>
      </w:r>
      <w:r w:rsidRPr="00B93C97">
        <w:rPr>
          <w:vertAlign w:val="superscript"/>
        </w:rPr>
        <w:t>o</w:t>
      </w:r>
      <w:r>
        <w:t>. Dodatkowo można również w ciągu roku uzyskać płatność za zastosowanie zaleconych przez nadleśniczego, indywidualnych środków ochrony uprawy leśnej przed zwierzyną, w wysokości od 190 do 700 zł/ha</w:t>
      </w:r>
    </w:p>
    <w:p w:rsidR="00BF72C9" w:rsidRDefault="00BF72C9" w:rsidP="00B93C97">
      <w:pPr>
        <w:pStyle w:val="ListParagraph"/>
        <w:numPr>
          <w:ilvl w:val="0"/>
          <w:numId w:val="34"/>
        </w:numPr>
        <w:ind w:left="709" w:hanging="283"/>
        <w:jc w:val="both"/>
        <w:rPr>
          <w:color w:val="000000"/>
        </w:rPr>
      </w:pPr>
      <w:r w:rsidRPr="00B93C97">
        <w:rPr>
          <w:color w:val="000000"/>
        </w:rPr>
        <w:t xml:space="preserve">Trzecia transza wypłacana równolegle z premią pielęgnacyjną to </w:t>
      </w:r>
      <w:r w:rsidRPr="00B93C97">
        <w:rPr>
          <w:b/>
          <w:bCs/>
          <w:color w:val="000000"/>
        </w:rPr>
        <w:t>premia zalesieniowa</w:t>
      </w:r>
      <w:r w:rsidRPr="00B93C97">
        <w:rPr>
          <w:color w:val="000000"/>
        </w:rPr>
        <w:t>. Jest to zryczałtowana płatność do hektara zalesionych gruntów, wynikająca z utraconych dochodów z tytułu przekształcenia gruntów rolnych na grunty leśne. Premia zalesieniowa jest wypłacana dłużej niż premia pielęgnacyjna, bo można ją otrzymywać przez 15 lat od założenia uprawy leśnej. Otrzymują ją tylko ci, którzy udokumentowali, że co najmniej 25% dochodów czerpią z rolnictwa. Kwota pomocy przyznawanej rocznie w ramach premii zalesieniowej wynosi 1580 zł/ha.</w:t>
      </w:r>
    </w:p>
    <w:p w:rsidR="00BF72C9" w:rsidRPr="00C254A9" w:rsidRDefault="00BF72C9" w:rsidP="00C254A9">
      <w:pPr>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867982">
      <w:pPr>
        <w:ind w:left="360"/>
        <w:jc w:val="both"/>
        <w:rPr>
          <w:color w:val="000000"/>
        </w:rPr>
      </w:pPr>
    </w:p>
    <w:p w:rsidR="00BF72C9" w:rsidRDefault="00BF72C9" w:rsidP="00EA0941">
      <w:pPr>
        <w:numPr>
          <w:ilvl w:val="0"/>
          <w:numId w:val="14"/>
        </w:numPr>
        <w:tabs>
          <w:tab w:val="clear" w:pos="780"/>
          <w:tab w:val="num" w:pos="360"/>
        </w:tabs>
        <w:ind w:left="360"/>
        <w:jc w:val="both"/>
        <w:rPr>
          <w:b/>
          <w:bCs/>
          <w:color w:val="000000"/>
        </w:rPr>
      </w:pPr>
      <w:r>
        <w:rPr>
          <w:b/>
          <w:bCs/>
          <w:color w:val="000000"/>
        </w:rPr>
        <w:t>IDENTYFIKACJA I REJESTRACJA ZWIERZĄT</w:t>
      </w:r>
    </w:p>
    <w:p w:rsidR="00BF72C9" w:rsidRDefault="00BF72C9" w:rsidP="00E34732">
      <w:pPr>
        <w:jc w:val="both"/>
        <w:rPr>
          <w:b/>
          <w:bCs/>
          <w:color w:val="000000"/>
        </w:rPr>
      </w:pPr>
    </w:p>
    <w:p w:rsidR="00BF72C9" w:rsidRDefault="00BF72C9" w:rsidP="00E34732">
      <w:pPr>
        <w:ind w:left="360"/>
        <w:jc w:val="both"/>
      </w:pPr>
      <w:r>
        <w:t>Oprócz w/w działań Biuro Powiatowe ARiMR w Turku zajmuje się również Identyfikacją i Rejestracją Zwierząt</w:t>
      </w:r>
      <w:r w:rsidRPr="00DB4652">
        <w:t xml:space="preserve"> </w:t>
      </w:r>
      <w:r>
        <w:t xml:space="preserve">dla takich gatunków jak: </w:t>
      </w:r>
      <w:r w:rsidRPr="006C1161">
        <w:rPr>
          <w:b/>
          <w:bCs/>
        </w:rPr>
        <w:t>bydło, trzoda chlewna, owce i kozy</w:t>
      </w:r>
      <w:r>
        <w:t xml:space="preserve">. Rocznie obsługujemy ok. </w:t>
      </w:r>
      <w:r w:rsidRPr="00497588">
        <w:t>42</w:t>
      </w:r>
      <w:r>
        <w:t xml:space="preserve"> tysiące zgłoszeń zwierzęcych a są to między innymi:</w:t>
      </w:r>
    </w:p>
    <w:p w:rsidR="00BF72C9" w:rsidRDefault="00BF72C9" w:rsidP="00E34732">
      <w:pPr>
        <w:pStyle w:val="ListParagraph"/>
        <w:numPr>
          <w:ilvl w:val="0"/>
          <w:numId w:val="26"/>
        </w:numPr>
        <w:jc w:val="both"/>
      </w:pPr>
      <w:r>
        <w:t>Zgłoszenie bydła do rejestru,</w:t>
      </w:r>
    </w:p>
    <w:p w:rsidR="00BF72C9" w:rsidRDefault="00BF72C9" w:rsidP="00E34732">
      <w:pPr>
        <w:pStyle w:val="ListParagraph"/>
        <w:numPr>
          <w:ilvl w:val="0"/>
          <w:numId w:val="26"/>
        </w:numPr>
        <w:jc w:val="both"/>
      </w:pPr>
      <w:r>
        <w:t>Zgłoszenie świń do rejestru,</w:t>
      </w:r>
    </w:p>
    <w:p w:rsidR="00BF72C9" w:rsidRDefault="00BF72C9" w:rsidP="00E34732">
      <w:pPr>
        <w:pStyle w:val="ListParagraph"/>
        <w:numPr>
          <w:ilvl w:val="0"/>
          <w:numId w:val="26"/>
        </w:numPr>
        <w:jc w:val="both"/>
      </w:pPr>
      <w:r>
        <w:t>Zgłoszenie owiec do rejestru,</w:t>
      </w:r>
    </w:p>
    <w:p w:rsidR="00BF72C9" w:rsidRDefault="00BF72C9" w:rsidP="00E34732">
      <w:pPr>
        <w:pStyle w:val="ListParagraph"/>
        <w:numPr>
          <w:ilvl w:val="0"/>
          <w:numId w:val="26"/>
        </w:numPr>
        <w:jc w:val="both"/>
      </w:pPr>
      <w:r>
        <w:t>Zgłoszenie kóz do rejestru,</w:t>
      </w:r>
    </w:p>
    <w:p w:rsidR="00BF72C9" w:rsidRDefault="00BF72C9" w:rsidP="00E34732">
      <w:pPr>
        <w:pStyle w:val="ListParagraph"/>
        <w:numPr>
          <w:ilvl w:val="0"/>
          <w:numId w:val="26"/>
        </w:numPr>
        <w:jc w:val="both"/>
      </w:pPr>
      <w:r>
        <w:t>Zgłoszenie przemieszczenia bydła,</w:t>
      </w:r>
    </w:p>
    <w:p w:rsidR="00BF72C9" w:rsidRDefault="00BF72C9" w:rsidP="00E34732">
      <w:pPr>
        <w:pStyle w:val="ListParagraph"/>
        <w:numPr>
          <w:ilvl w:val="0"/>
          <w:numId w:val="26"/>
        </w:numPr>
        <w:jc w:val="both"/>
      </w:pPr>
      <w:r>
        <w:t>Zgłoszenie zmiany stanu stada świń,</w:t>
      </w:r>
    </w:p>
    <w:p w:rsidR="00BF72C9" w:rsidRDefault="00BF72C9" w:rsidP="00E34732">
      <w:pPr>
        <w:pStyle w:val="ListParagraph"/>
        <w:numPr>
          <w:ilvl w:val="0"/>
          <w:numId w:val="26"/>
        </w:numPr>
        <w:jc w:val="both"/>
      </w:pPr>
      <w:r>
        <w:t>Zgłoszenie przemieszczenia owiec,</w:t>
      </w:r>
    </w:p>
    <w:p w:rsidR="00BF72C9" w:rsidRDefault="00BF72C9" w:rsidP="00E34732">
      <w:pPr>
        <w:pStyle w:val="ListParagraph"/>
        <w:numPr>
          <w:ilvl w:val="0"/>
          <w:numId w:val="26"/>
        </w:numPr>
        <w:jc w:val="both"/>
      </w:pPr>
      <w:r>
        <w:t>Zgłoszenie przemieszczenia kóz,</w:t>
      </w:r>
    </w:p>
    <w:p w:rsidR="00BF72C9" w:rsidRDefault="00BF72C9" w:rsidP="00E34732">
      <w:pPr>
        <w:pStyle w:val="ListParagraph"/>
        <w:numPr>
          <w:ilvl w:val="0"/>
          <w:numId w:val="26"/>
        </w:numPr>
        <w:jc w:val="both"/>
      </w:pPr>
      <w:r>
        <w:t>Zgłoszenie padnięcia, zabicia, uboju w gospodarstwie bydła,</w:t>
      </w:r>
      <w:r w:rsidRPr="00313944">
        <w:t xml:space="preserve"> </w:t>
      </w:r>
      <w:r>
        <w:t>owiec</w:t>
      </w:r>
      <w:r w:rsidRPr="00313944">
        <w:t xml:space="preserve"> </w:t>
      </w:r>
      <w:r>
        <w:t>albo kóz,</w:t>
      </w:r>
    </w:p>
    <w:p w:rsidR="00BF72C9" w:rsidRDefault="00BF72C9" w:rsidP="00E34732">
      <w:pPr>
        <w:pStyle w:val="ListParagraph"/>
        <w:numPr>
          <w:ilvl w:val="0"/>
          <w:numId w:val="26"/>
        </w:numPr>
        <w:jc w:val="both"/>
      </w:pPr>
      <w:r>
        <w:t xml:space="preserve">Zgłoszenie padnięcia </w:t>
      </w:r>
    </w:p>
    <w:p w:rsidR="00BF72C9" w:rsidRDefault="00BF72C9" w:rsidP="00E34732">
      <w:pPr>
        <w:pStyle w:val="ListParagraph"/>
        <w:numPr>
          <w:ilvl w:val="0"/>
          <w:numId w:val="26"/>
        </w:numPr>
        <w:jc w:val="both"/>
      </w:pPr>
      <w:r>
        <w:t xml:space="preserve">Zgłoszenie padnięcia </w:t>
      </w:r>
    </w:p>
    <w:p w:rsidR="00BF72C9" w:rsidRDefault="00BF72C9" w:rsidP="00E34732">
      <w:pPr>
        <w:pStyle w:val="ListParagraph"/>
        <w:numPr>
          <w:ilvl w:val="0"/>
          <w:numId w:val="26"/>
        </w:numPr>
        <w:jc w:val="both"/>
      </w:pPr>
      <w:r>
        <w:t>Zgłoszenie uboju bydła w rzeźni,</w:t>
      </w:r>
    </w:p>
    <w:p w:rsidR="00BF72C9" w:rsidRDefault="00BF72C9" w:rsidP="00E34732">
      <w:pPr>
        <w:pStyle w:val="ListParagraph"/>
        <w:numPr>
          <w:ilvl w:val="0"/>
          <w:numId w:val="26"/>
        </w:numPr>
        <w:jc w:val="both"/>
      </w:pPr>
      <w:r>
        <w:t>Zgłoszenie uboju świń w rzeźni,</w:t>
      </w:r>
    </w:p>
    <w:p w:rsidR="00BF72C9" w:rsidRDefault="00BF72C9" w:rsidP="00E34732">
      <w:pPr>
        <w:pStyle w:val="ListParagraph"/>
        <w:numPr>
          <w:ilvl w:val="0"/>
          <w:numId w:val="26"/>
        </w:numPr>
        <w:jc w:val="both"/>
      </w:pPr>
      <w:r>
        <w:t>Wniosek o przydzielenie puli numerów dla bydła,</w:t>
      </w:r>
    </w:p>
    <w:p w:rsidR="00BF72C9" w:rsidRDefault="00BF72C9" w:rsidP="00E34732">
      <w:pPr>
        <w:pStyle w:val="ListParagraph"/>
        <w:numPr>
          <w:ilvl w:val="0"/>
          <w:numId w:val="26"/>
        </w:numPr>
        <w:jc w:val="both"/>
      </w:pPr>
      <w:r>
        <w:t>Wniosek o przydzielenie puli numerów dla owiec i kóz,</w:t>
      </w:r>
    </w:p>
    <w:p w:rsidR="00BF72C9" w:rsidRDefault="00BF72C9" w:rsidP="00E34732">
      <w:pPr>
        <w:pStyle w:val="ListParagraph"/>
        <w:numPr>
          <w:ilvl w:val="0"/>
          <w:numId w:val="26"/>
        </w:numPr>
        <w:jc w:val="both"/>
      </w:pPr>
      <w:r>
        <w:t>Wniosek o przydzielenie puli nr duplikatów kolczyków dla bydła, owiec albo kóz,</w:t>
      </w:r>
    </w:p>
    <w:p w:rsidR="00BF72C9" w:rsidRDefault="00BF72C9" w:rsidP="00E34732">
      <w:pPr>
        <w:pStyle w:val="ListParagraph"/>
        <w:numPr>
          <w:ilvl w:val="0"/>
          <w:numId w:val="26"/>
        </w:numPr>
        <w:jc w:val="both"/>
      </w:pPr>
      <w:r>
        <w:t>Wniosek o zarejestrowanie siedziby stada,</w:t>
      </w:r>
    </w:p>
    <w:p w:rsidR="00BF72C9" w:rsidRDefault="00BF72C9" w:rsidP="00E34732">
      <w:pPr>
        <w:ind w:left="426"/>
        <w:jc w:val="both"/>
      </w:pPr>
      <w:r>
        <w:t>Każde ze zgłoszeń wymaga terminowego dostarczenia przez rolnika, od momentu zajścia zdarzenia, do Biura Powiatowego ARiMR i tak na przykład zgłoszenia dotyczące bydła takie jak urodzenie, sprzedaż, kupno, czy też padnięcie wymagają zgłoszenia ich w ciągu 7 dni od daty zajścia. Rolnicy którzy notorycznie łamią zapisy Ustawy o Systemie Identyfikacji i Rejestracji Zwierząt muszą się liczyć z koniecznością kierowania ich do organów ścigania, celem wyciągnięcia względem nich stosownych konsekwencji zapisanych w w/w Ustawie i takie działania z naszej strony względem rolników notorycznie łamiących przepisy prawa mają również miejsce.</w:t>
      </w:r>
    </w:p>
    <w:p w:rsidR="00BF72C9" w:rsidRPr="00E80636" w:rsidRDefault="00BF72C9" w:rsidP="00E34732">
      <w:pPr>
        <w:ind w:left="426"/>
        <w:jc w:val="both"/>
      </w:pPr>
      <w:r>
        <w:t xml:space="preserve">Identyfikacja i Rejestracja Zwierząt jest bardzo ważnym elementem w procesie zapobiegania szerzeniu się chorób zakaźnych zwierząt i dającym pewność bezpieczeństwa żywności – mięsa i wyrobów pochodzenia zwierzęcego – które jako bezpośredni konsumenci spożywamy. Dzięki naszej działalności w tym obszarze jesteśmy w stanie prześledzić całą ścieżkę przemieszczania się zwierzęcia, począwszy od siedziby w której zwierzę się urodziło, poprzez siedziby w których przebywało, aż do miejsca w którym zostało ubite, oraz gdzie mięso z ubojni trafiło do sprzedaży, lub też gdzie zwierzę zostało zutylizowane – w jakim zakładzie utylizacyjnym – jeśli padło. </w:t>
      </w:r>
      <w:r w:rsidRPr="00E80636">
        <w:t>Średnio do naszego biura wpływa 160 w/w zgłoszeń dziennie, które są na bieżąco wprowadzane do systemu informatycz</w:t>
      </w:r>
      <w:r>
        <w:t>nego obsługującego Identyfikację</w:t>
      </w:r>
      <w:r w:rsidRPr="00E80636">
        <w:t xml:space="preserve"> i Rejestrację Zwierząt, jest to ogrom pracy</w:t>
      </w:r>
      <w:r>
        <w:t>,</w:t>
      </w:r>
      <w:r w:rsidRPr="00E80636">
        <w:t xml:space="preserve"> której nie widać bezpośrednio w środkach finansowych przekazywanych na tereny wiejskie, która angażuje znaczne środki i zasoby kadrowe do jej wykonania.</w:t>
      </w:r>
    </w:p>
    <w:p w:rsidR="00BF72C9" w:rsidRPr="00F308D6" w:rsidRDefault="00BF72C9" w:rsidP="00E34732">
      <w:pPr>
        <w:ind w:left="426"/>
        <w:jc w:val="both"/>
      </w:pPr>
      <w:r w:rsidRPr="00F308D6">
        <w:t>W tym miejscu należy wspomnieć także o kwestii dofinansowania przez ARiMR kosztów zbioru, transportu i unieszkodliwiania padłych zwierząt gospodarskich</w:t>
      </w:r>
      <w:r>
        <w:t>, gdyż takie wsparcie z naszej strony jest realizowane</w:t>
      </w:r>
      <w:r w:rsidRPr="00F308D6">
        <w:t xml:space="preserve">. Wszelkie informacje w tym zakresie znajdziecie Państwo w zał. nr </w:t>
      </w:r>
      <w:r>
        <w:rPr>
          <w:b/>
          <w:bCs/>
        </w:rPr>
        <w:t>1</w:t>
      </w:r>
      <w:r w:rsidRPr="00F308D6">
        <w:t xml:space="preserve">, </w:t>
      </w:r>
      <w:r>
        <w:rPr>
          <w:b/>
          <w:bCs/>
        </w:rPr>
        <w:t>1</w:t>
      </w:r>
      <w:r w:rsidRPr="00E872BD">
        <w:rPr>
          <w:b/>
          <w:bCs/>
        </w:rPr>
        <w:t>.1.</w:t>
      </w:r>
      <w:r w:rsidRPr="00F308D6">
        <w:t xml:space="preserve">, i </w:t>
      </w:r>
      <w:r>
        <w:rPr>
          <w:b/>
          <w:bCs/>
        </w:rPr>
        <w:t>1</w:t>
      </w:r>
      <w:r w:rsidRPr="00E872BD">
        <w:rPr>
          <w:b/>
          <w:bCs/>
        </w:rPr>
        <w:t>.2.</w:t>
      </w:r>
      <w:r w:rsidRPr="00F308D6">
        <w:t xml:space="preserve"> do tej informacji.</w:t>
      </w:r>
    </w:p>
    <w:p w:rsidR="00BF72C9" w:rsidRDefault="00BF72C9" w:rsidP="00E34732">
      <w:pPr>
        <w:jc w:val="both"/>
        <w:rPr>
          <w:b/>
          <w:bCs/>
          <w:color w:val="000000"/>
        </w:rPr>
      </w:pPr>
    </w:p>
    <w:p w:rsidR="00BF72C9" w:rsidRDefault="00BF72C9" w:rsidP="00E34732">
      <w:pPr>
        <w:jc w:val="both"/>
        <w:rPr>
          <w:b/>
          <w:bCs/>
          <w:color w:val="000000"/>
        </w:rPr>
      </w:pPr>
    </w:p>
    <w:p w:rsidR="00BF72C9" w:rsidRDefault="00BF72C9" w:rsidP="00E34732">
      <w:pPr>
        <w:jc w:val="both"/>
        <w:rPr>
          <w:b/>
          <w:bCs/>
          <w:color w:val="000000"/>
        </w:rPr>
      </w:pPr>
    </w:p>
    <w:p w:rsidR="00BF72C9" w:rsidRDefault="00BF72C9" w:rsidP="00E34732">
      <w:pPr>
        <w:jc w:val="both"/>
        <w:rPr>
          <w:b/>
          <w:bCs/>
          <w:color w:val="000000"/>
        </w:rPr>
      </w:pPr>
    </w:p>
    <w:p w:rsidR="00BF72C9" w:rsidRPr="00257FB1" w:rsidRDefault="00BF72C9" w:rsidP="00257FB1">
      <w:pPr>
        <w:numPr>
          <w:ilvl w:val="0"/>
          <w:numId w:val="14"/>
        </w:numPr>
        <w:tabs>
          <w:tab w:val="clear" w:pos="780"/>
          <w:tab w:val="num" w:pos="360"/>
        </w:tabs>
        <w:ind w:left="360"/>
        <w:jc w:val="both"/>
        <w:rPr>
          <w:b/>
          <w:bCs/>
          <w:color w:val="000000"/>
        </w:rPr>
      </w:pPr>
      <w:r w:rsidRPr="00257FB1">
        <w:rPr>
          <w:b/>
          <w:bCs/>
          <w:color w:val="000000"/>
        </w:rPr>
        <w:t xml:space="preserve">POMOC DE MINIMIS </w:t>
      </w:r>
      <w:r w:rsidRPr="00257FB1">
        <w:rPr>
          <w:b/>
          <w:bCs/>
        </w:rPr>
        <w:t>PRODUCENTOM ROLNYM W KTÓRYCH GOSPODARSTWACH ROLNYCH LUB DZIAŁACH SPECJALNYCH PRODUKCJI ROLNEJ POWSTAŁY SZKODY SPOWODOWAN</w:t>
      </w:r>
      <w:r>
        <w:rPr>
          <w:b/>
          <w:bCs/>
        </w:rPr>
        <w:t>E WYSTĄPIENIEM POWODZI, HURAGANU</w:t>
      </w:r>
      <w:r w:rsidRPr="00257FB1">
        <w:rPr>
          <w:b/>
          <w:bCs/>
        </w:rPr>
        <w:t xml:space="preserve">, GRADU LUB DESZCZU NAWALNEGO W 2013 r. </w:t>
      </w:r>
    </w:p>
    <w:p w:rsidR="00BF72C9" w:rsidRDefault="00BF72C9" w:rsidP="00C50F32">
      <w:pPr>
        <w:jc w:val="both"/>
        <w:rPr>
          <w:b/>
          <w:bCs/>
          <w:color w:val="000000"/>
        </w:rPr>
      </w:pPr>
    </w:p>
    <w:p w:rsidR="00BF72C9" w:rsidRPr="00690C8B" w:rsidRDefault="00BF72C9" w:rsidP="00022223">
      <w:pPr>
        <w:ind w:left="357"/>
        <w:jc w:val="both"/>
      </w:pPr>
      <w:r>
        <w:t xml:space="preserve">W roku 2013 wzorem roku 2012 zostaliśmy jako ARiMR zobowiązani do przyjęcia               i rozpatrzenia </w:t>
      </w:r>
      <w:r w:rsidRPr="00C91EA4">
        <w:t xml:space="preserve">wniosków o </w:t>
      </w:r>
      <w:r w:rsidRPr="00690C8B">
        <w:t xml:space="preserve">udzielenie jednorazowej pomocy finansowej o charakterze </w:t>
      </w:r>
      <w:r>
        <w:t xml:space="preserve">           </w:t>
      </w:r>
      <w:r w:rsidRPr="00690C8B">
        <w:t>de minimis producentom rolnym w których gospodarstwach rolnych lub działach specjalnych produkcji rolnej powstały szkody spowodowane wystąpieniem powodzi, huraganu, grad</w:t>
      </w:r>
      <w:r>
        <w:t>u lub deszczu nawalnego.</w:t>
      </w:r>
    </w:p>
    <w:p w:rsidR="00BF72C9" w:rsidRDefault="00BF72C9" w:rsidP="00022223">
      <w:pPr>
        <w:ind w:left="357"/>
        <w:jc w:val="both"/>
      </w:pPr>
    </w:p>
    <w:p w:rsidR="00BF72C9" w:rsidRDefault="00BF72C9" w:rsidP="00022223">
      <w:pPr>
        <w:ind w:left="357"/>
        <w:jc w:val="both"/>
      </w:pPr>
      <w:r>
        <w:t>Stawka wsparcia na 1 ha upraw które były przeznaczone do likwidacji wynosiła 100 zł na 1 ha powierzchni jeśli min 50% gruntów w gospodarstwie było ubezpieczonych, lub 50 zł do hektara w przypadku braku ubezpieczenia lub ubezpieczenia mniej niż 50% gruntów wchodzących w skład gospodarstwa.</w:t>
      </w:r>
    </w:p>
    <w:p w:rsidR="00BF72C9" w:rsidRDefault="00BF72C9" w:rsidP="00022223">
      <w:pPr>
        <w:ind w:left="357"/>
        <w:jc w:val="both"/>
      </w:pPr>
    </w:p>
    <w:p w:rsidR="00BF72C9" w:rsidRDefault="00BF72C9" w:rsidP="00CC1C7D">
      <w:pPr>
        <w:ind w:left="357"/>
        <w:jc w:val="both"/>
      </w:pPr>
      <w:r>
        <w:t xml:space="preserve">Wysokość pomocy ustalana była jako iloczyn powierzchni upraw ustalonej przez Kierownika Biura Powiatowego Agencji na podstawie złożonego przez producenta rolnego wniosku, wraz protokołem z oszacowania szkód sporządzonym przez komisję powołaną przez Wojewodę oraz stawki pomocy na 1 ha powierzchni. Pomoc była </w:t>
      </w:r>
      <w:r w:rsidRPr="00EE7DD5">
        <w:t xml:space="preserve">przyznawana </w:t>
      </w:r>
      <w:r>
        <w:t>w</w:t>
      </w:r>
      <w:r w:rsidRPr="009514D1">
        <w:t xml:space="preserve"> </w:t>
      </w:r>
      <w:r>
        <w:t xml:space="preserve">drodze decyzji administracyjnej Kierownika Biura Powiatowego Agencji właściwego ze względu na miejsce </w:t>
      </w:r>
      <w:r w:rsidRPr="009514D1">
        <w:t>zamieszkania</w:t>
      </w:r>
      <w:r w:rsidRPr="00EE7DD5">
        <w:t xml:space="preserve"> </w:t>
      </w:r>
      <w:r>
        <w:t xml:space="preserve">lub siedzibę producenta rolnego. </w:t>
      </w:r>
    </w:p>
    <w:p w:rsidR="00BF72C9" w:rsidRDefault="00BF72C9" w:rsidP="00022223">
      <w:pPr>
        <w:ind w:left="357"/>
        <w:jc w:val="both"/>
      </w:pPr>
      <w:r>
        <w:t>Wnioski o w/w pomoc można było składać w terminie od 02-09-2013 r. do 30-09-2013 r.</w:t>
      </w:r>
    </w:p>
    <w:p w:rsidR="00BF72C9" w:rsidRDefault="00BF72C9" w:rsidP="00022223">
      <w:pPr>
        <w:ind w:left="357"/>
        <w:jc w:val="both"/>
      </w:pPr>
      <w:r>
        <w:t xml:space="preserve">W tym czasie przyjęliśmy </w:t>
      </w:r>
      <w:r>
        <w:rPr>
          <w:b/>
          <w:bCs/>
        </w:rPr>
        <w:t>109</w:t>
      </w:r>
      <w:r>
        <w:t xml:space="preserve"> wniosków, które zostały rozpatrzone a kwota jaką                 w ramach tej pomocy przekazaliśmy na konta rolników wyniosła </w:t>
      </w:r>
      <w:r w:rsidRPr="00C70125">
        <w:rPr>
          <w:b/>
          <w:bCs/>
        </w:rPr>
        <w:t>31 031,00 zł</w:t>
      </w:r>
      <w:r>
        <w:t xml:space="preserve">. </w:t>
      </w:r>
    </w:p>
    <w:p w:rsidR="00BF72C9" w:rsidRDefault="00BF72C9" w:rsidP="00022223">
      <w:pPr>
        <w:ind w:left="357"/>
        <w:jc w:val="both"/>
      </w:pPr>
    </w:p>
    <w:p w:rsidR="00BF72C9" w:rsidRDefault="00BF72C9" w:rsidP="00022223">
      <w:pPr>
        <w:ind w:left="357"/>
        <w:jc w:val="both"/>
      </w:pPr>
      <w:r>
        <w:t xml:space="preserve">Pomoc de minimis to wsparcie państwa udzielane między innymi w takich sytuacjach jak ta wyżej opisana, które to wsparcie nie wymaga notyfikacji Komisji Europejskiej z uwagi na niewielkie rozmiary tejże pomocy, co też nie powoduje naruszenia </w:t>
      </w:r>
      <w:r w:rsidRPr="005F3140">
        <w:t>konkurencji</w:t>
      </w:r>
      <w:r>
        <w:t xml:space="preserve"> na rynku. </w:t>
      </w:r>
      <w:r w:rsidRPr="00CC418F">
        <w:t xml:space="preserve">Zgodnie z art. 3 ust. 2 rozporządzenia Komisji (WE) nr 1535/2007 z dnia </w:t>
      </w:r>
      <w:r>
        <w:t xml:space="preserve">                  </w:t>
      </w:r>
      <w:r w:rsidRPr="00CC418F">
        <w:t xml:space="preserve">20 grudnia </w:t>
      </w:r>
      <w:r>
        <w:t xml:space="preserve">2007 </w:t>
      </w:r>
      <w:r w:rsidRPr="00CC418F">
        <w:t xml:space="preserve">r. w sprawie zastosowania art. 87 i 88 Traktatu WE w odniesieniu do pomocy </w:t>
      </w:r>
      <w:r w:rsidRPr="00CC418F">
        <w:rPr>
          <w:i/>
          <w:iCs/>
        </w:rPr>
        <w:t>de minimis</w:t>
      </w:r>
      <w:r w:rsidRPr="00CC418F">
        <w:t xml:space="preserve"> w sektorze produkcji rolnej </w:t>
      </w:r>
      <w:r>
        <w:t>(Dz. Urz. UE L 337 z 21.12.2007</w:t>
      </w:r>
      <w:r w:rsidRPr="00CC418F">
        <w:t xml:space="preserve">r.) pomoc </w:t>
      </w:r>
      <w:r w:rsidRPr="00CC418F">
        <w:rPr>
          <w:i/>
          <w:iCs/>
        </w:rPr>
        <w:t>de minimis</w:t>
      </w:r>
      <w:r w:rsidRPr="00CC418F">
        <w:t xml:space="preserve"> udzielana dla jednego rolnika nie może przekroczyć 7 500 euro </w:t>
      </w:r>
      <w:r>
        <w:t xml:space="preserve">                </w:t>
      </w:r>
      <w:r w:rsidRPr="00CC418F">
        <w:t>w ciągu trzech ostatnich lat obrotowych.</w:t>
      </w: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Default="00BF72C9" w:rsidP="00022223">
      <w:pPr>
        <w:ind w:left="357"/>
        <w:jc w:val="both"/>
      </w:pPr>
    </w:p>
    <w:p w:rsidR="00BF72C9" w:rsidRPr="006977EE" w:rsidRDefault="00BF72C9" w:rsidP="00022223">
      <w:pPr>
        <w:ind w:left="357"/>
        <w:jc w:val="both"/>
      </w:pPr>
    </w:p>
    <w:p w:rsidR="00BF72C9" w:rsidRDefault="00BF72C9" w:rsidP="00104A1C">
      <w:pPr>
        <w:shd w:val="clear" w:color="auto" w:fill="FFFFFF"/>
        <w:jc w:val="both"/>
        <w:rPr>
          <w:b/>
          <w:bCs/>
        </w:rPr>
      </w:pPr>
      <w:r>
        <w:rPr>
          <w:b/>
          <w:bCs/>
        </w:rPr>
        <w:t>Zał. nr 1</w:t>
      </w:r>
    </w:p>
    <w:p w:rsidR="00BF72C9" w:rsidRPr="000C1094" w:rsidRDefault="00BF72C9" w:rsidP="00D243B8">
      <w:pPr>
        <w:shd w:val="clear" w:color="auto" w:fill="FFFFFF"/>
        <w:jc w:val="both"/>
      </w:pPr>
    </w:p>
    <w:p w:rsidR="00BF72C9" w:rsidRPr="000C1094" w:rsidRDefault="00BF72C9" w:rsidP="000C1094">
      <w:pPr>
        <w:autoSpaceDE w:val="0"/>
        <w:autoSpaceDN w:val="0"/>
        <w:adjustRightInd w:val="0"/>
        <w:jc w:val="center"/>
        <w:rPr>
          <w:b/>
          <w:bCs/>
        </w:rPr>
      </w:pPr>
      <w:r w:rsidRPr="000C1094">
        <w:rPr>
          <w:b/>
          <w:bCs/>
        </w:rPr>
        <w:t>Agencja zakończyła zawieranie umów na świadczenie usług utylizacyjnych w 2014 r.</w:t>
      </w:r>
    </w:p>
    <w:p w:rsidR="00BF72C9" w:rsidRPr="000C1094" w:rsidRDefault="00BF72C9" w:rsidP="000C1094">
      <w:pPr>
        <w:autoSpaceDE w:val="0"/>
        <w:autoSpaceDN w:val="0"/>
        <w:adjustRightInd w:val="0"/>
        <w:jc w:val="center"/>
        <w:rPr>
          <w:b/>
          <w:bCs/>
        </w:rPr>
      </w:pPr>
    </w:p>
    <w:p w:rsidR="00BF72C9" w:rsidRDefault="00BF72C9" w:rsidP="000C1094">
      <w:pPr>
        <w:autoSpaceDE w:val="0"/>
        <w:autoSpaceDN w:val="0"/>
        <w:adjustRightInd w:val="0"/>
        <w:jc w:val="both"/>
      </w:pPr>
      <w:r w:rsidRPr="000C1094">
        <w:t>12 firm zawarło z ARiMR umowy na świadczenie w 2014 r. usług utylizacyjnych</w:t>
      </w:r>
      <w:r>
        <w:t xml:space="preserve"> </w:t>
      </w:r>
      <w:r w:rsidRPr="000C1094">
        <w:t xml:space="preserve">obejmujących zbiór, transport i unieszkodliwienie padłych zwierząt gospodarskich. Są to następujące podmioty: EKO - STOK Sp. z o.o.; Elkur Franciszek Kurowski Sp. J. ; Energoutil Jan Laskowski; Jasta Sp. z o.o.; PP-H Hetman Sp. z o.o.; PPP Bacutil Sp. J.; Promarol – Plus Sp. z o.o.; Przedsiębiorstwo Wielobranżowe Amba Sp. z o.o.; Saria Polska Sp. z o.o.; STRUGA S.A.; ZP-H Barbara Rakowska; ZR-P "FARMUTIL HS" S.A. </w:t>
      </w:r>
    </w:p>
    <w:p w:rsidR="00BF72C9" w:rsidRPr="000C1094" w:rsidRDefault="00BF72C9" w:rsidP="000C1094">
      <w:pPr>
        <w:autoSpaceDE w:val="0"/>
        <w:autoSpaceDN w:val="0"/>
        <w:adjustRightInd w:val="0"/>
        <w:jc w:val="both"/>
      </w:pPr>
      <w:r w:rsidRPr="000C1094">
        <w:t xml:space="preserve">Ponieważ w 2014 r. w poszczególnych województwach usługi utylizacyjne świadczyć będzie od dwóch do dziewięciu firm, Agencja przypomina, że rolnicy zanim zdecydują się komu zlecą wykonanie takich usług, powinni zapoznać się z cenami oferowanymi przez przedsiębiorców działających w ich regionie. Zasady korzystania w 2014 r. z usług utylizacyjnych z dofinansowaniem Agencji dla producentów rolnych nie ulegają zmianie </w:t>
      </w:r>
      <w:r>
        <w:t xml:space="preserve">          </w:t>
      </w:r>
      <w:r w:rsidRPr="000C1094">
        <w:t xml:space="preserve">w stosunku do obowiązujących obecnie. Oznacza to, że pomoc może otrzymać producent rolny prowadzący gospodarstwo rolne w rozumieniu przepisów o podatku rolnym lub dział specjalny produkcji rolnej. Wsparcia nie mogą jednak otrzymać producenci, którzy nie spełniają kryterium małego lub średniego przedsiębiorstwa określonego w Załączniku I </w:t>
      </w:r>
      <w:r>
        <w:t xml:space="preserve">            </w:t>
      </w:r>
      <w:r w:rsidRPr="000C1094">
        <w:t xml:space="preserve">do rozporządzenia Komisji Europejskiej nr (WE) 800/2008 z dnia 8 sierpnia 2008 r. Pomoc może być udzielona na dofinansowanie kosztów zbioru, transportu i unieszkodliwienia padłych zwierząt gospodarskich z gatunku bydło, owce, kozy, konie oraz świnie. Kwota jaką ewentualnie będą zobowiązani zapłacić rolnicy zależy od wieku i gatunku padłego zwierzęcia. I tak Agencja sfinansuje za rolnika pełne koszty zbioru i transportu padłego bydła, owiec, kóz, koni oraz świń, a także pokryje w 100% koszty unieszkodliwienia bydła, które ukończyło 48 miesiąc życia oraz owiec i kóz które ukończyły 18 miesiąc życia (zwierzęta </w:t>
      </w:r>
      <w:r>
        <w:t xml:space="preserve">        </w:t>
      </w:r>
      <w:r w:rsidRPr="000C1094">
        <w:t xml:space="preserve">z tych grup podlegają badaniom w kierunku TSE). Natomiast w przypadku unieszkodliwienia padłego bydła poniżej 48 miesiąca życia, a owiec i kóz poniżej 18 miesiąca życia oraz świń </w:t>
      </w:r>
      <w:r>
        <w:t xml:space="preserve">         </w:t>
      </w:r>
      <w:r w:rsidRPr="000C1094">
        <w:t>i koni niezależnie od ich wieku, Agencja może dofinansować do 75% kosztów poniesionych przez producenta rolnego. W przypadku producentów rolnych będących płatnikami podatku VAT, dofinansowanie Agencji nie obejmuje kwoty podatku VAT. Pomoc udzielana przez ARiMR na pokrycie kosztów zbioru, transportu i unieszkodliwiania padłych zwierząt gospodarskich jest obok kredytów preferencyjnych jedną z tzw. Form "pomocy krajowej" w całości finansowanych z budżetu krajowego i w obecnej formie jest ona udzielana od 2008 r.</w:t>
      </w:r>
    </w:p>
    <w:p w:rsidR="00BF72C9" w:rsidRDefault="00BF72C9" w:rsidP="0094213C">
      <w:pPr>
        <w:shd w:val="clear" w:color="auto" w:fill="FFFFFF"/>
        <w:spacing w:before="100" w:beforeAutospacing="1" w:after="100" w:afterAutospacing="1"/>
        <w:jc w:val="both"/>
        <w:rPr>
          <w:color w:val="717276"/>
          <w:sz w:val="19"/>
          <w:szCs w:val="19"/>
        </w:rPr>
      </w:pPr>
      <w:r w:rsidRPr="00132ED9">
        <w:rPr>
          <w:sz w:val="20"/>
          <w:szCs w:val="20"/>
        </w:rPr>
        <w:t>Informacja ze strony internetowej:</w:t>
      </w:r>
      <w:r>
        <w:t xml:space="preserve"> </w:t>
      </w:r>
      <w:hyperlink r:id="rId11" w:history="1">
        <w:r w:rsidRPr="00957E66">
          <w:rPr>
            <w:rStyle w:val="Hyperlink"/>
          </w:rPr>
          <w:t>www.arimr.gov.pl</w:t>
        </w:r>
      </w:hyperlink>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BF7109">
      <w:pPr>
        <w:shd w:val="clear" w:color="auto" w:fill="FFFFFF"/>
        <w:jc w:val="both"/>
        <w:rPr>
          <w:b/>
          <w:bCs/>
        </w:rPr>
      </w:pPr>
      <w:r>
        <w:rPr>
          <w:b/>
          <w:bCs/>
        </w:rPr>
        <w:t>Zał. nr 1.1.</w:t>
      </w:r>
    </w:p>
    <w:p w:rsidR="00BF72C9" w:rsidRDefault="00BF72C9" w:rsidP="00104A1C">
      <w:pPr>
        <w:shd w:val="clear" w:color="auto" w:fill="FFFFFF"/>
        <w:spacing w:before="100" w:beforeAutospacing="1" w:after="100" w:afterAutospacing="1"/>
        <w:jc w:val="both"/>
        <w:rPr>
          <w:color w:val="717276"/>
          <w:sz w:val="19"/>
          <w:szCs w:val="19"/>
        </w:rPr>
      </w:pPr>
    </w:p>
    <w:tbl>
      <w:tblPr>
        <w:tblW w:w="9157" w:type="dxa"/>
        <w:tblInd w:w="-68" w:type="dxa"/>
        <w:tblCellMar>
          <w:left w:w="70" w:type="dxa"/>
          <w:right w:w="70" w:type="dxa"/>
        </w:tblCellMar>
        <w:tblLook w:val="00A0"/>
      </w:tblPr>
      <w:tblGrid>
        <w:gridCol w:w="9212"/>
      </w:tblGrid>
      <w:tr w:rsidR="00BF72C9" w:rsidRPr="00C16D36">
        <w:trPr>
          <w:trHeight w:val="1245"/>
        </w:trPr>
        <w:tc>
          <w:tcPr>
            <w:tcW w:w="9157" w:type="dxa"/>
            <w:tcBorders>
              <w:top w:val="nil"/>
              <w:left w:val="nil"/>
              <w:bottom w:val="single" w:sz="8" w:space="0" w:color="auto"/>
              <w:right w:val="nil"/>
            </w:tcBorders>
            <w:vAlign w:val="center"/>
          </w:tcPr>
          <w:p w:rsidR="00BF72C9" w:rsidRDefault="00BF72C9" w:rsidP="00C16D36">
            <w:pPr>
              <w:jc w:val="center"/>
              <w:rPr>
                <w:rFonts w:ascii="Czcionka tekstu podstawowego" w:hAnsi="Czcionka tekstu podstawowego" w:cs="Czcionka tekstu podstawowego"/>
                <w:b/>
                <w:bCs/>
                <w:color w:val="000000"/>
                <w:sz w:val="20"/>
                <w:szCs w:val="20"/>
              </w:rPr>
            </w:pPr>
            <w:r w:rsidRPr="00C16D36">
              <w:rPr>
                <w:rFonts w:ascii="Czcionka tekstu podstawowego" w:hAnsi="Czcionka tekstu podstawowego" w:cs="Czcionka tekstu podstawowego"/>
                <w:b/>
                <w:bCs/>
                <w:color w:val="000000"/>
                <w:sz w:val="20"/>
                <w:szCs w:val="20"/>
              </w:rPr>
              <w:t xml:space="preserve">Numery telefonów firm utylizacyjnych, realizujących usługi zbioru, transportu i unieszkodliwiania padłych zwierząt gospodarskich z dofinansowaniem ARiMR, </w:t>
            </w:r>
            <w:r>
              <w:rPr>
                <w:rFonts w:ascii="Czcionka tekstu podstawowego" w:hAnsi="Czcionka tekstu podstawowego" w:cs="Czcionka tekstu podstawowego"/>
                <w:b/>
                <w:bCs/>
                <w:color w:val="000000"/>
                <w:sz w:val="20"/>
                <w:szCs w:val="20"/>
              </w:rPr>
              <w:t>na terenie województwa wielkopolskiego</w:t>
            </w:r>
            <w:r w:rsidRPr="00C16D36">
              <w:rPr>
                <w:rFonts w:ascii="Czcionka tekstu podstawowego" w:hAnsi="Czcionka tekstu podstawowego" w:cs="Czcionka tekstu podstawowego"/>
                <w:b/>
                <w:bCs/>
                <w:color w:val="000000"/>
                <w:sz w:val="20"/>
                <w:szCs w:val="20"/>
              </w:rPr>
              <w:t xml:space="preserve"> obowiązujące</w:t>
            </w:r>
            <w:r>
              <w:rPr>
                <w:rFonts w:ascii="Czcionka tekstu podstawowego" w:hAnsi="Czcionka tekstu podstawowego" w:cs="Czcionka tekstu podstawowego"/>
                <w:b/>
                <w:bCs/>
                <w:color w:val="000000"/>
                <w:sz w:val="20"/>
                <w:szCs w:val="20"/>
              </w:rPr>
              <w:t xml:space="preserve"> od dnia 1 stycznia 2014</w:t>
            </w:r>
            <w:r w:rsidRPr="00C16D36">
              <w:rPr>
                <w:rFonts w:ascii="Czcionka tekstu podstawowego" w:hAnsi="Czcionka tekstu podstawowego" w:cs="Czcionka tekstu podstawowego"/>
                <w:b/>
                <w:bCs/>
                <w:color w:val="000000"/>
                <w:sz w:val="20"/>
                <w:szCs w:val="20"/>
              </w:rPr>
              <w:t xml:space="preserve"> roku.</w:t>
            </w:r>
          </w:p>
          <w:p w:rsidR="00BF72C9" w:rsidRDefault="00BF72C9" w:rsidP="00C16D36">
            <w:pPr>
              <w:jc w:val="center"/>
              <w:rPr>
                <w:rFonts w:ascii="Czcionka tekstu podstawowego" w:hAnsi="Czcionka tekstu podstawowego" w:cs="Czcionka tekstu podstawowego"/>
                <w:b/>
                <w:bCs/>
                <w:color w:val="000000"/>
                <w:sz w:val="20"/>
                <w:szCs w:val="20"/>
              </w:rPr>
            </w:pPr>
          </w:p>
          <w:p w:rsidR="00BF72C9" w:rsidRDefault="00BF72C9" w:rsidP="00C16D36">
            <w:pPr>
              <w:jc w:val="center"/>
              <w:rPr>
                <w:rFonts w:ascii="Czcionka tekstu podstawowego" w:hAnsi="Czcionka tekstu podstawowego" w:cs="Czcionka tekstu podstawowego"/>
                <w:b/>
                <w:bCs/>
                <w:color w:val="000000"/>
                <w:sz w:val="20"/>
                <w:szCs w:val="20"/>
              </w:rPr>
            </w:pPr>
          </w:p>
          <w:p w:rsidR="00BF72C9" w:rsidRDefault="00BF72C9" w:rsidP="00C16D36">
            <w:pPr>
              <w:jc w:val="center"/>
              <w:rPr>
                <w:rFonts w:ascii="Czcionka tekstu podstawowego" w:hAnsi="Czcionka tekstu podstawowego" w:cs="Czcionka tekstu podstawowego"/>
                <w:b/>
                <w:bCs/>
                <w:color w:val="000000"/>
                <w:sz w:val="20"/>
                <w:szCs w:val="20"/>
              </w:rPr>
            </w:pPr>
          </w:p>
          <w:tbl>
            <w:tblPr>
              <w:tblW w:w="9062" w:type="dxa"/>
              <w:tblInd w:w="3" w:type="dxa"/>
              <w:tblCellMar>
                <w:left w:w="70" w:type="dxa"/>
                <w:right w:w="70" w:type="dxa"/>
              </w:tblCellMar>
              <w:tblLook w:val="00A0"/>
            </w:tblPr>
            <w:tblGrid>
              <w:gridCol w:w="1397"/>
              <w:gridCol w:w="2676"/>
              <w:gridCol w:w="2169"/>
              <w:gridCol w:w="1516"/>
              <w:gridCol w:w="1299"/>
            </w:tblGrid>
            <w:tr w:rsidR="00BF72C9" w:rsidRPr="00847F70">
              <w:trPr>
                <w:trHeight w:val="285"/>
              </w:trPr>
              <w:tc>
                <w:tcPr>
                  <w:tcW w:w="1397" w:type="dxa"/>
                  <w:vMerge w:val="restart"/>
                  <w:tcBorders>
                    <w:top w:val="single" w:sz="8" w:space="0" w:color="auto"/>
                    <w:left w:val="single" w:sz="4" w:space="0" w:color="auto"/>
                    <w:bottom w:val="single" w:sz="8" w:space="0" w:color="000000"/>
                    <w:right w:val="single" w:sz="4" w:space="0" w:color="auto"/>
                  </w:tcBorders>
                  <w:shd w:val="clear" w:color="000000" w:fill="F2F2F2"/>
                  <w:noWrap/>
                  <w:vAlign w:val="center"/>
                </w:tcPr>
                <w:p w:rsidR="00BF72C9" w:rsidRPr="00847F70" w:rsidRDefault="00BF72C9" w:rsidP="00847F70">
                  <w:pPr>
                    <w:jc w:val="center"/>
                    <w:rPr>
                      <w:b/>
                      <w:bCs/>
                      <w:sz w:val="20"/>
                      <w:szCs w:val="20"/>
                    </w:rPr>
                  </w:pPr>
                  <w:r w:rsidRPr="00847F70">
                    <w:rPr>
                      <w:b/>
                      <w:bCs/>
                      <w:sz w:val="20"/>
                      <w:szCs w:val="20"/>
                    </w:rPr>
                    <w:t>Województwo</w:t>
                  </w:r>
                </w:p>
              </w:tc>
              <w:tc>
                <w:tcPr>
                  <w:tcW w:w="2678"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tcPr>
                <w:p w:rsidR="00BF72C9" w:rsidRPr="00847F70" w:rsidRDefault="00BF72C9" w:rsidP="00847F70">
                  <w:pPr>
                    <w:jc w:val="center"/>
                    <w:rPr>
                      <w:b/>
                      <w:bCs/>
                      <w:sz w:val="20"/>
                      <w:szCs w:val="20"/>
                    </w:rPr>
                  </w:pPr>
                  <w:r w:rsidRPr="00847F70">
                    <w:rPr>
                      <w:b/>
                      <w:bCs/>
                      <w:sz w:val="20"/>
                      <w:szCs w:val="20"/>
                    </w:rPr>
                    <w:t>Nazwa Zakładu</w:t>
                  </w:r>
                </w:p>
              </w:tc>
              <w:tc>
                <w:tcPr>
                  <w:tcW w:w="2170"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tcPr>
                <w:p w:rsidR="00BF72C9" w:rsidRPr="00847F70" w:rsidRDefault="00BF72C9" w:rsidP="00847F70">
                  <w:pPr>
                    <w:jc w:val="center"/>
                    <w:rPr>
                      <w:b/>
                      <w:bCs/>
                      <w:sz w:val="18"/>
                      <w:szCs w:val="18"/>
                    </w:rPr>
                  </w:pPr>
                  <w:r w:rsidRPr="00847F70">
                    <w:rPr>
                      <w:b/>
                      <w:bCs/>
                      <w:sz w:val="18"/>
                      <w:szCs w:val="18"/>
                    </w:rPr>
                    <w:t>Numer miejsca unieszkodliwienia nadany zakładowi utylizacyjnemu przez ARiMR (dotyczy zgłoszenia przemieszczenia padłej sztuki)</w:t>
                  </w:r>
                </w:p>
              </w:tc>
              <w:tc>
                <w:tcPr>
                  <w:tcW w:w="1517" w:type="dxa"/>
                  <w:vMerge w:val="restart"/>
                  <w:tcBorders>
                    <w:top w:val="single" w:sz="8" w:space="0" w:color="auto"/>
                    <w:left w:val="single" w:sz="4" w:space="0" w:color="auto"/>
                    <w:bottom w:val="single" w:sz="8" w:space="0" w:color="000000"/>
                    <w:right w:val="single" w:sz="4" w:space="0" w:color="auto"/>
                  </w:tcBorders>
                  <w:shd w:val="clear" w:color="000000" w:fill="F2F2F2"/>
                  <w:vAlign w:val="center"/>
                </w:tcPr>
                <w:p w:rsidR="00BF72C9" w:rsidRPr="00847F70" w:rsidRDefault="00BF72C9" w:rsidP="00847F70">
                  <w:pPr>
                    <w:jc w:val="center"/>
                    <w:rPr>
                      <w:b/>
                      <w:bCs/>
                      <w:color w:val="000000"/>
                      <w:sz w:val="18"/>
                      <w:szCs w:val="18"/>
                    </w:rPr>
                  </w:pPr>
                  <w:r w:rsidRPr="00847F70">
                    <w:rPr>
                      <w:b/>
                      <w:bCs/>
                      <w:color w:val="000000"/>
                      <w:sz w:val="18"/>
                      <w:szCs w:val="18"/>
                    </w:rPr>
                    <w:t>Całodobowy numer telefonu/faxu</w:t>
                  </w:r>
                </w:p>
              </w:tc>
              <w:tc>
                <w:tcPr>
                  <w:tcW w:w="1300" w:type="dxa"/>
                  <w:vMerge w:val="restart"/>
                  <w:tcBorders>
                    <w:top w:val="single" w:sz="8" w:space="0" w:color="auto"/>
                    <w:left w:val="single" w:sz="4" w:space="0" w:color="auto"/>
                    <w:bottom w:val="single" w:sz="8" w:space="0" w:color="000000"/>
                    <w:right w:val="single" w:sz="8" w:space="0" w:color="auto"/>
                  </w:tcBorders>
                  <w:shd w:val="clear" w:color="000000" w:fill="F2F2F2"/>
                  <w:vAlign w:val="center"/>
                </w:tcPr>
                <w:p w:rsidR="00BF72C9" w:rsidRPr="00847F70" w:rsidRDefault="00BF72C9" w:rsidP="00847F70">
                  <w:pPr>
                    <w:jc w:val="center"/>
                    <w:rPr>
                      <w:b/>
                      <w:bCs/>
                      <w:color w:val="000000"/>
                      <w:sz w:val="18"/>
                      <w:szCs w:val="18"/>
                    </w:rPr>
                  </w:pPr>
                  <w:r w:rsidRPr="00847F70">
                    <w:rPr>
                      <w:b/>
                      <w:bCs/>
                      <w:color w:val="000000"/>
                      <w:sz w:val="18"/>
                      <w:szCs w:val="18"/>
                    </w:rPr>
                    <w:t>fax</w:t>
                  </w:r>
                </w:p>
              </w:tc>
            </w:tr>
            <w:tr w:rsidR="00BF72C9" w:rsidRPr="00847F70">
              <w:trPr>
                <w:trHeight w:val="1590"/>
              </w:trPr>
              <w:tc>
                <w:tcPr>
                  <w:tcW w:w="1397" w:type="dxa"/>
                  <w:vMerge/>
                  <w:tcBorders>
                    <w:top w:val="single" w:sz="8" w:space="0" w:color="auto"/>
                    <w:left w:val="single" w:sz="4" w:space="0" w:color="auto"/>
                    <w:bottom w:val="single" w:sz="8" w:space="0" w:color="000000"/>
                    <w:right w:val="single" w:sz="4" w:space="0" w:color="auto"/>
                  </w:tcBorders>
                  <w:vAlign w:val="center"/>
                </w:tcPr>
                <w:p w:rsidR="00BF72C9" w:rsidRPr="00847F70" w:rsidRDefault="00BF72C9" w:rsidP="00847F70">
                  <w:pPr>
                    <w:rPr>
                      <w:b/>
                      <w:bCs/>
                      <w:sz w:val="20"/>
                      <w:szCs w:val="20"/>
                    </w:rPr>
                  </w:pPr>
                </w:p>
              </w:tc>
              <w:tc>
                <w:tcPr>
                  <w:tcW w:w="2678" w:type="dxa"/>
                  <w:vMerge/>
                  <w:tcBorders>
                    <w:top w:val="single" w:sz="8" w:space="0" w:color="auto"/>
                    <w:left w:val="single" w:sz="4" w:space="0" w:color="auto"/>
                    <w:bottom w:val="single" w:sz="8" w:space="0" w:color="000000"/>
                    <w:right w:val="single" w:sz="4" w:space="0" w:color="auto"/>
                  </w:tcBorders>
                  <w:vAlign w:val="center"/>
                </w:tcPr>
                <w:p w:rsidR="00BF72C9" w:rsidRPr="00847F70" w:rsidRDefault="00BF72C9" w:rsidP="00847F70">
                  <w:pPr>
                    <w:rPr>
                      <w:b/>
                      <w:bCs/>
                      <w:sz w:val="20"/>
                      <w:szCs w:val="20"/>
                    </w:rPr>
                  </w:pPr>
                </w:p>
              </w:tc>
              <w:tc>
                <w:tcPr>
                  <w:tcW w:w="2170" w:type="dxa"/>
                  <w:vMerge/>
                  <w:tcBorders>
                    <w:top w:val="single" w:sz="8" w:space="0" w:color="auto"/>
                    <w:left w:val="single" w:sz="4" w:space="0" w:color="auto"/>
                    <w:bottom w:val="single" w:sz="8" w:space="0" w:color="000000"/>
                    <w:right w:val="single" w:sz="4" w:space="0" w:color="auto"/>
                  </w:tcBorders>
                  <w:vAlign w:val="center"/>
                </w:tcPr>
                <w:p w:rsidR="00BF72C9" w:rsidRPr="00847F70" w:rsidRDefault="00BF72C9" w:rsidP="00847F70">
                  <w:pPr>
                    <w:rPr>
                      <w:b/>
                      <w:bCs/>
                      <w:sz w:val="18"/>
                      <w:szCs w:val="18"/>
                    </w:rPr>
                  </w:pPr>
                </w:p>
              </w:tc>
              <w:tc>
                <w:tcPr>
                  <w:tcW w:w="1517" w:type="dxa"/>
                  <w:vMerge/>
                  <w:tcBorders>
                    <w:top w:val="single" w:sz="8" w:space="0" w:color="auto"/>
                    <w:left w:val="single" w:sz="4" w:space="0" w:color="auto"/>
                    <w:bottom w:val="single" w:sz="8" w:space="0" w:color="000000"/>
                    <w:right w:val="single" w:sz="4" w:space="0" w:color="auto"/>
                  </w:tcBorders>
                  <w:vAlign w:val="center"/>
                </w:tcPr>
                <w:p w:rsidR="00BF72C9" w:rsidRPr="00847F70" w:rsidRDefault="00BF72C9" w:rsidP="00847F70">
                  <w:pPr>
                    <w:rPr>
                      <w:b/>
                      <w:bCs/>
                      <w:color w:val="000000"/>
                      <w:sz w:val="18"/>
                      <w:szCs w:val="18"/>
                    </w:rPr>
                  </w:pPr>
                </w:p>
              </w:tc>
              <w:tc>
                <w:tcPr>
                  <w:tcW w:w="1300" w:type="dxa"/>
                  <w:vMerge/>
                  <w:tcBorders>
                    <w:top w:val="single" w:sz="8" w:space="0" w:color="auto"/>
                    <w:left w:val="single" w:sz="4" w:space="0" w:color="auto"/>
                    <w:bottom w:val="single" w:sz="8" w:space="0" w:color="000000"/>
                    <w:right w:val="single" w:sz="8" w:space="0" w:color="auto"/>
                  </w:tcBorders>
                  <w:vAlign w:val="center"/>
                </w:tcPr>
                <w:p w:rsidR="00BF72C9" w:rsidRPr="00847F70" w:rsidRDefault="00BF72C9" w:rsidP="00847F70">
                  <w:pPr>
                    <w:rPr>
                      <w:b/>
                      <w:bCs/>
                      <w:color w:val="000000"/>
                      <w:sz w:val="18"/>
                      <w:szCs w:val="18"/>
                    </w:rPr>
                  </w:pPr>
                </w:p>
              </w:tc>
            </w:tr>
            <w:tr w:rsidR="00BF72C9" w:rsidRPr="00847F70">
              <w:trPr>
                <w:trHeight w:val="315"/>
              </w:trPr>
              <w:tc>
                <w:tcPr>
                  <w:tcW w:w="1397" w:type="dxa"/>
                  <w:vMerge w:val="restart"/>
                  <w:tcBorders>
                    <w:top w:val="nil"/>
                    <w:left w:val="single" w:sz="4" w:space="0" w:color="auto"/>
                    <w:bottom w:val="single" w:sz="8" w:space="0" w:color="000000"/>
                    <w:right w:val="single" w:sz="4" w:space="0" w:color="auto"/>
                  </w:tcBorders>
                  <w:shd w:val="clear" w:color="000000" w:fill="FFFFCC"/>
                  <w:vAlign w:val="center"/>
                </w:tcPr>
                <w:p w:rsidR="00BF72C9" w:rsidRPr="00847F70" w:rsidRDefault="00BF72C9" w:rsidP="00847F70">
                  <w:pPr>
                    <w:jc w:val="center"/>
                    <w:rPr>
                      <w:sz w:val="20"/>
                      <w:szCs w:val="20"/>
                    </w:rPr>
                  </w:pPr>
                  <w:r w:rsidRPr="00847F70">
                    <w:rPr>
                      <w:sz w:val="20"/>
                      <w:szCs w:val="20"/>
                    </w:rPr>
                    <w:t>Wielkopolskie</w:t>
                  </w:r>
                </w:p>
              </w:tc>
              <w:tc>
                <w:tcPr>
                  <w:tcW w:w="2678" w:type="dxa"/>
                  <w:tcBorders>
                    <w:top w:val="nil"/>
                    <w:left w:val="nil"/>
                    <w:bottom w:val="single" w:sz="4" w:space="0" w:color="auto"/>
                    <w:right w:val="single" w:sz="4" w:space="0" w:color="auto"/>
                  </w:tcBorders>
                  <w:shd w:val="clear" w:color="000000" w:fill="EAF1DD"/>
                  <w:noWrap/>
                  <w:vAlign w:val="center"/>
                </w:tcPr>
                <w:p w:rsidR="00BF72C9" w:rsidRPr="00847F70" w:rsidRDefault="00BF72C9" w:rsidP="00847F70">
                  <w:pPr>
                    <w:rPr>
                      <w:sz w:val="20"/>
                      <w:szCs w:val="20"/>
                    </w:rPr>
                  </w:pPr>
                  <w:r w:rsidRPr="00847F70">
                    <w:rPr>
                      <w:sz w:val="20"/>
                      <w:szCs w:val="20"/>
                    </w:rPr>
                    <w:t>EKO-STOK Sp. z o.o.</w:t>
                  </w:r>
                </w:p>
              </w:tc>
              <w:tc>
                <w:tcPr>
                  <w:tcW w:w="2170" w:type="dxa"/>
                  <w:tcBorders>
                    <w:top w:val="nil"/>
                    <w:left w:val="nil"/>
                    <w:bottom w:val="single" w:sz="4" w:space="0" w:color="auto"/>
                    <w:right w:val="single" w:sz="4" w:space="0" w:color="auto"/>
                  </w:tcBorders>
                  <w:shd w:val="clear" w:color="000000" w:fill="EAF1DD"/>
                  <w:noWrap/>
                  <w:vAlign w:val="center"/>
                </w:tcPr>
                <w:p w:rsidR="00BF72C9" w:rsidRPr="00847F70" w:rsidRDefault="00BF72C9" w:rsidP="00847F70">
                  <w:pPr>
                    <w:jc w:val="center"/>
                    <w:rPr>
                      <w:sz w:val="20"/>
                      <w:szCs w:val="20"/>
                    </w:rPr>
                  </w:pPr>
                  <w:r w:rsidRPr="00847F70">
                    <w:rPr>
                      <w:sz w:val="20"/>
                      <w:szCs w:val="20"/>
                    </w:rPr>
                    <w:t>PL063721716-001</w:t>
                  </w:r>
                </w:p>
              </w:tc>
              <w:tc>
                <w:tcPr>
                  <w:tcW w:w="1517" w:type="dxa"/>
                  <w:tcBorders>
                    <w:top w:val="nil"/>
                    <w:left w:val="nil"/>
                    <w:bottom w:val="single" w:sz="4" w:space="0" w:color="auto"/>
                    <w:right w:val="single" w:sz="4" w:space="0" w:color="auto"/>
                  </w:tcBorders>
                  <w:shd w:val="clear" w:color="000000" w:fill="EAF1DD"/>
                  <w:noWrap/>
                  <w:vAlign w:val="center"/>
                </w:tcPr>
                <w:p w:rsidR="00BF72C9" w:rsidRPr="00847F70" w:rsidRDefault="00BF72C9" w:rsidP="00847F70">
                  <w:pPr>
                    <w:jc w:val="center"/>
                    <w:rPr>
                      <w:sz w:val="20"/>
                      <w:szCs w:val="20"/>
                    </w:rPr>
                  </w:pPr>
                  <w:r w:rsidRPr="00847F70">
                    <w:rPr>
                      <w:sz w:val="20"/>
                      <w:szCs w:val="20"/>
                    </w:rPr>
                    <w:t>86 270 11 47</w:t>
                  </w:r>
                </w:p>
              </w:tc>
              <w:tc>
                <w:tcPr>
                  <w:tcW w:w="1300" w:type="dxa"/>
                  <w:tcBorders>
                    <w:top w:val="nil"/>
                    <w:left w:val="nil"/>
                    <w:bottom w:val="single" w:sz="4" w:space="0" w:color="auto"/>
                    <w:right w:val="single" w:sz="8" w:space="0" w:color="auto"/>
                  </w:tcBorders>
                  <w:shd w:val="clear" w:color="000000" w:fill="EAF1DD"/>
                  <w:noWrap/>
                  <w:vAlign w:val="center"/>
                </w:tcPr>
                <w:p w:rsidR="00BF72C9" w:rsidRPr="00847F70" w:rsidRDefault="00BF72C9" w:rsidP="00847F70">
                  <w:pPr>
                    <w:jc w:val="center"/>
                    <w:rPr>
                      <w:sz w:val="20"/>
                      <w:szCs w:val="20"/>
                    </w:rPr>
                  </w:pPr>
                  <w:r w:rsidRPr="00847F70">
                    <w:rPr>
                      <w:sz w:val="20"/>
                      <w:szCs w:val="20"/>
                    </w:rPr>
                    <w:t>86 271 04 91</w:t>
                  </w:r>
                </w:p>
              </w:tc>
            </w:tr>
            <w:tr w:rsidR="00BF72C9" w:rsidRPr="00847F70">
              <w:trPr>
                <w:trHeight w:val="315"/>
              </w:trPr>
              <w:tc>
                <w:tcPr>
                  <w:tcW w:w="1397" w:type="dxa"/>
                  <w:vMerge/>
                  <w:tcBorders>
                    <w:top w:val="nil"/>
                    <w:left w:val="single" w:sz="4" w:space="0" w:color="auto"/>
                    <w:bottom w:val="single" w:sz="8" w:space="0" w:color="000000"/>
                    <w:right w:val="single" w:sz="4" w:space="0" w:color="auto"/>
                  </w:tcBorders>
                  <w:vAlign w:val="center"/>
                </w:tcPr>
                <w:p w:rsidR="00BF72C9" w:rsidRPr="00847F70" w:rsidRDefault="00BF72C9" w:rsidP="00847F70">
                  <w:pPr>
                    <w:rPr>
                      <w:sz w:val="20"/>
                      <w:szCs w:val="20"/>
                    </w:rPr>
                  </w:pPr>
                </w:p>
              </w:tc>
              <w:tc>
                <w:tcPr>
                  <w:tcW w:w="2678" w:type="dxa"/>
                  <w:tcBorders>
                    <w:top w:val="nil"/>
                    <w:left w:val="nil"/>
                    <w:bottom w:val="single" w:sz="4" w:space="0" w:color="auto"/>
                    <w:right w:val="single" w:sz="4" w:space="0" w:color="auto"/>
                  </w:tcBorders>
                  <w:shd w:val="clear" w:color="000000" w:fill="FFFFCC"/>
                  <w:noWrap/>
                  <w:vAlign w:val="center"/>
                </w:tcPr>
                <w:p w:rsidR="00BF72C9" w:rsidRPr="00FE0A75" w:rsidRDefault="00BF72C9" w:rsidP="00847F70">
                  <w:pPr>
                    <w:rPr>
                      <w:sz w:val="20"/>
                      <w:szCs w:val="20"/>
                      <w:lang w:val="en-US"/>
                    </w:rPr>
                  </w:pPr>
                  <w:r w:rsidRPr="00FE0A75">
                    <w:rPr>
                      <w:sz w:val="20"/>
                      <w:szCs w:val="20"/>
                      <w:lang w:val="en-US"/>
                    </w:rPr>
                    <w:t>PP-H HETMAN Sp. z o.o.</w:t>
                  </w:r>
                </w:p>
              </w:tc>
              <w:tc>
                <w:tcPr>
                  <w:tcW w:w="2170" w:type="dxa"/>
                  <w:tcBorders>
                    <w:top w:val="nil"/>
                    <w:left w:val="nil"/>
                    <w:bottom w:val="single" w:sz="4" w:space="0" w:color="auto"/>
                    <w:right w:val="single" w:sz="4" w:space="0" w:color="auto"/>
                  </w:tcBorders>
                  <w:shd w:val="clear" w:color="000000" w:fill="FFFFCC"/>
                  <w:noWrap/>
                  <w:vAlign w:val="center"/>
                </w:tcPr>
                <w:p w:rsidR="00BF72C9" w:rsidRPr="00847F70" w:rsidRDefault="00BF72C9" w:rsidP="00847F70">
                  <w:pPr>
                    <w:jc w:val="center"/>
                    <w:rPr>
                      <w:sz w:val="20"/>
                      <w:szCs w:val="20"/>
                    </w:rPr>
                  </w:pPr>
                  <w:r w:rsidRPr="00847F70">
                    <w:rPr>
                      <w:sz w:val="20"/>
                      <w:szCs w:val="20"/>
                    </w:rPr>
                    <w:t>PL061909305-001</w:t>
                  </w:r>
                </w:p>
              </w:tc>
              <w:tc>
                <w:tcPr>
                  <w:tcW w:w="1517" w:type="dxa"/>
                  <w:tcBorders>
                    <w:top w:val="nil"/>
                    <w:left w:val="nil"/>
                    <w:bottom w:val="single" w:sz="4" w:space="0" w:color="auto"/>
                    <w:right w:val="single" w:sz="4" w:space="0" w:color="auto"/>
                  </w:tcBorders>
                  <w:shd w:val="clear" w:color="000000" w:fill="FFFFCC"/>
                  <w:noWrap/>
                  <w:vAlign w:val="center"/>
                </w:tcPr>
                <w:p w:rsidR="00BF72C9" w:rsidRPr="00847F70" w:rsidRDefault="00BF72C9" w:rsidP="00847F70">
                  <w:pPr>
                    <w:jc w:val="center"/>
                    <w:rPr>
                      <w:sz w:val="20"/>
                      <w:szCs w:val="20"/>
                    </w:rPr>
                  </w:pPr>
                  <w:r w:rsidRPr="00847F70">
                    <w:rPr>
                      <w:sz w:val="20"/>
                      <w:szCs w:val="20"/>
                    </w:rPr>
                    <w:t>56 683 25 62</w:t>
                  </w:r>
                </w:p>
              </w:tc>
              <w:tc>
                <w:tcPr>
                  <w:tcW w:w="1300" w:type="dxa"/>
                  <w:tcBorders>
                    <w:top w:val="nil"/>
                    <w:left w:val="nil"/>
                    <w:bottom w:val="single" w:sz="4" w:space="0" w:color="auto"/>
                    <w:right w:val="single" w:sz="8" w:space="0" w:color="auto"/>
                  </w:tcBorders>
                  <w:shd w:val="clear" w:color="000000" w:fill="FFFFCC"/>
                  <w:noWrap/>
                  <w:vAlign w:val="center"/>
                </w:tcPr>
                <w:p w:rsidR="00BF72C9" w:rsidRPr="00847F70" w:rsidRDefault="00BF72C9" w:rsidP="00847F70">
                  <w:pPr>
                    <w:jc w:val="center"/>
                    <w:rPr>
                      <w:sz w:val="20"/>
                      <w:szCs w:val="20"/>
                    </w:rPr>
                  </w:pPr>
                  <w:r w:rsidRPr="00847F70">
                    <w:rPr>
                      <w:sz w:val="20"/>
                      <w:szCs w:val="20"/>
                    </w:rPr>
                    <w:t>56 683 25 62</w:t>
                  </w:r>
                </w:p>
              </w:tc>
            </w:tr>
            <w:tr w:rsidR="00BF72C9" w:rsidRPr="00847F70">
              <w:trPr>
                <w:trHeight w:val="315"/>
              </w:trPr>
              <w:tc>
                <w:tcPr>
                  <w:tcW w:w="1397" w:type="dxa"/>
                  <w:vMerge/>
                  <w:tcBorders>
                    <w:top w:val="nil"/>
                    <w:left w:val="single" w:sz="4" w:space="0" w:color="auto"/>
                    <w:bottom w:val="single" w:sz="8" w:space="0" w:color="000000"/>
                    <w:right w:val="single" w:sz="4" w:space="0" w:color="auto"/>
                  </w:tcBorders>
                  <w:vAlign w:val="center"/>
                </w:tcPr>
                <w:p w:rsidR="00BF72C9" w:rsidRPr="00847F70" w:rsidRDefault="00BF72C9" w:rsidP="00847F70">
                  <w:pPr>
                    <w:rPr>
                      <w:sz w:val="20"/>
                      <w:szCs w:val="20"/>
                    </w:rPr>
                  </w:pPr>
                </w:p>
              </w:tc>
              <w:tc>
                <w:tcPr>
                  <w:tcW w:w="2678" w:type="dxa"/>
                  <w:tcBorders>
                    <w:top w:val="nil"/>
                    <w:left w:val="nil"/>
                    <w:bottom w:val="single" w:sz="4" w:space="0" w:color="auto"/>
                    <w:right w:val="single" w:sz="4" w:space="0" w:color="auto"/>
                  </w:tcBorders>
                  <w:shd w:val="clear" w:color="000000" w:fill="EAF1DD"/>
                  <w:noWrap/>
                  <w:vAlign w:val="center"/>
                </w:tcPr>
                <w:p w:rsidR="00BF72C9" w:rsidRPr="00847F70" w:rsidRDefault="00BF72C9" w:rsidP="00847F70">
                  <w:pPr>
                    <w:rPr>
                      <w:sz w:val="20"/>
                      <w:szCs w:val="20"/>
                    </w:rPr>
                  </w:pPr>
                  <w:r w:rsidRPr="00847F70">
                    <w:rPr>
                      <w:sz w:val="20"/>
                      <w:szCs w:val="20"/>
                    </w:rPr>
                    <w:t xml:space="preserve">STRUGA SA </w:t>
                  </w:r>
                </w:p>
              </w:tc>
              <w:tc>
                <w:tcPr>
                  <w:tcW w:w="2170" w:type="dxa"/>
                  <w:tcBorders>
                    <w:top w:val="nil"/>
                    <w:left w:val="nil"/>
                    <w:bottom w:val="single" w:sz="4" w:space="0" w:color="auto"/>
                    <w:right w:val="single" w:sz="4" w:space="0" w:color="auto"/>
                  </w:tcBorders>
                  <w:shd w:val="clear" w:color="000000" w:fill="EAF1DD"/>
                  <w:noWrap/>
                  <w:vAlign w:val="center"/>
                </w:tcPr>
                <w:p w:rsidR="00BF72C9" w:rsidRPr="00847F70" w:rsidRDefault="00BF72C9" w:rsidP="00847F70">
                  <w:pPr>
                    <w:jc w:val="center"/>
                    <w:rPr>
                      <w:sz w:val="20"/>
                      <w:szCs w:val="20"/>
                    </w:rPr>
                  </w:pPr>
                  <w:r w:rsidRPr="00847F70">
                    <w:rPr>
                      <w:sz w:val="20"/>
                      <w:szCs w:val="20"/>
                    </w:rPr>
                    <w:t>PL039539400-001</w:t>
                  </w:r>
                </w:p>
              </w:tc>
              <w:tc>
                <w:tcPr>
                  <w:tcW w:w="1517" w:type="dxa"/>
                  <w:tcBorders>
                    <w:top w:val="nil"/>
                    <w:left w:val="nil"/>
                    <w:bottom w:val="single" w:sz="4" w:space="0" w:color="auto"/>
                    <w:right w:val="single" w:sz="4" w:space="0" w:color="auto"/>
                  </w:tcBorders>
                  <w:shd w:val="clear" w:color="000000" w:fill="EAF1DD"/>
                  <w:noWrap/>
                  <w:vAlign w:val="center"/>
                </w:tcPr>
                <w:p w:rsidR="00BF72C9" w:rsidRPr="00847F70" w:rsidRDefault="00BF72C9" w:rsidP="00847F70">
                  <w:pPr>
                    <w:jc w:val="center"/>
                    <w:rPr>
                      <w:sz w:val="20"/>
                      <w:szCs w:val="20"/>
                    </w:rPr>
                  </w:pPr>
                  <w:r w:rsidRPr="00847F70">
                    <w:rPr>
                      <w:sz w:val="20"/>
                      <w:szCs w:val="20"/>
                    </w:rPr>
                    <w:t>52 351 10 39</w:t>
                  </w:r>
                </w:p>
              </w:tc>
              <w:tc>
                <w:tcPr>
                  <w:tcW w:w="1300" w:type="dxa"/>
                  <w:tcBorders>
                    <w:top w:val="nil"/>
                    <w:left w:val="nil"/>
                    <w:bottom w:val="single" w:sz="4" w:space="0" w:color="auto"/>
                    <w:right w:val="single" w:sz="8" w:space="0" w:color="auto"/>
                  </w:tcBorders>
                  <w:shd w:val="clear" w:color="000000" w:fill="EAF1DD"/>
                  <w:noWrap/>
                  <w:vAlign w:val="center"/>
                </w:tcPr>
                <w:p w:rsidR="00BF72C9" w:rsidRPr="00847F70" w:rsidRDefault="00BF72C9" w:rsidP="00847F70">
                  <w:pPr>
                    <w:jc w:val="center"/>
                    <w:rPr>
                      <w:sz w:val="20"/>
                      <w:szCs w:val="20"/>
                    </w:rPr>
                  </w:pPr>
                  <w:r w:rsidRPr="00847F70">
                    <w:rPr>
                      <w:sz w:val="20"/>
                      <w:szCs w:val="20"/>
                    </w:rPr>
                    <w:t>52 351 25 24</w:t>
                  </w:r>
                </w:p>
              </w:tc>
            </w:tr>
            <w:tr w:rsidR="00BF72C9" w:rsidRPr="00847F70">
              <w:trPr>
                <w:trHeight w:val="315"/>
              </w:trPr>
              <w:tc>
                <w:tcPr>
                  <w:tcW w:w="1397" w:type="dxa"/>
                  <w:vMerge/>
                  <w:tcBorders>
                    <w:top w:val="nil"/>
                    <w:left w:val="single" w:sz="4" w:space="0" w:color="auto"/>
                    <w:bottom w:val="single" w:sz="8" w:space="0" w:color="000000"/>
                    <w:right w:val="single" w:sz="4" w:space="0" w:color="auto"/>
                  </w:tcBorders>
                  <w:vAlign w:val="center"/>
                </w:tcPr>
                <w:p w:rsidR="00BF72C9" w:rsidRPr="00847F70" w:rsidRDefault="00BF72C9" w:rsidP="00847F70">
                  <w:pPr>
                    <w:rPr>
                      <w:sz w:val="20"/>
                      <w:szCs w:val="20"/>
                    </w:rPr>
                  </w:pPr>
                </w:p>
              </w:tc>
              <w:tc>
                <w:tcPr>
                  <w:tcW w:w="2678" w:type="dxa"/>
                  <w:tcBorders>
                    <w:top w:val="nil"/>
                    <w:left w:val="nil"/>
                    <w:bottom w:val="single" w:sz="4" w:space="0" w:color="auto"/>
                    <w:right w:val="single" w:sz="4" w:space="0" w:color="auto"/>
                  </w:tcBorders>
                  <w:shd w:val="clear" w:color="000000" w:fill="FFFFCC"/>
                  <w:noWrap/>
                  <w:vAlign w:val="center"/>
                </w:tcPr>
                <w:p w:rsidR="00BF72C9" w:rsidRPr="00847F70" w:rsidRDefault="00BF72C9" w:rsidP="00847F70">
                  <w:pPr>
                    <w:rPr>
                      <w:sz w:val="20"/>
                      <w:szCs w:val="20"/>
                    </w:rPr>
                  </w:pPr>
                  <w:r w:rsidRPr="00847F70">
                    <w:rPr>
                      <w:sz w:val="20"/>
                      <w:szCs w:val="20"/>
                    </w:rPr>
                    <w:t>ZP-H B. RAKOWSKA</w:t>
                  </w:r>
                </w:p>
              </w:tc>
              <w:tc>
                <w:tcPr>
                  <w:tcW w:w="2170" w:type="dxa"/>
                  <w:tcBorders>
                    <w:top w:val="nil"/>
                    <w:left w:val="nil"/>
                    <w:bottom w:val="single" w:sz="4" w:space="0" w:color="auto"/>
                    <w:right w:val="single" w:sz="4" w:space="0" w:color="auto"/>
                  </w:tcBorders>
                  <w:shd w:val="clear" w:color="000000" w:fill="FFFFCC"/>
                  <w:noWrap/>
                  <w:vAlign w:val="center"/>
                </w:tcPr>
                <w:p w:rsidR="00BF72C9" w:rsidRPr="00847F70" w:rsidRDefault="00BF72C9" w:rsidP="00847F70">
                  <w:pPr>
                    <w:jc w:val="center"/>
                    <w:rPr>
                      <w:sz w:val="20"/>
                      <w:szCs w:val="20"/>
                    </w:rPr>
                  </w:pPr>
                  <w:r w:rsidRPr="00847F70">
                    <w:rPr>
                      <w:sz w:val="20"/>
                      <w:szCs w:val="20"/>
                    </w:rPr>
                    <w:t>PL039535293-001</w:t>
                  </w:r>
                </w:p>
              </w:tc>
              <w:tc>
                <w:tcPr>
                  <w:tcW w:w="1517" w:type="dxa"/>
                  <w:tcBorders>
                    <w:top w:val="nil"/>
                    <w:left w:val="nil"/>
                    <w:bottom w:val="single" w:sz="4" w:space="0" w:color="auto"/>
                    <w:right w:val="single" w:sz="4" w:space="0" w:color="auto"/>
                  </w:tcBorders>
                  <w:shd w:val="clear" w:color="000000" w:fill="FFFFCC"/>
                  <w:noWrap/>
                  <w:vAlign w:val="center"/>
                </w:tcPr>
                <w:p w:rsidR="00BF72C9" w:rsidRPr="00847F70" w:rsidRDefault="00BF72C9" w:rsidP="00847F70">
                  <w:pPr>
                    <w:jc w:val="center"/>
                    <w:rPr>
                      <w:sz w:val="20"/>
                      <w:szCs w:val="20"/>
                    </w:rPr>
                  </w:pPr>
                  <w:r w:rsidRPr="00847F70">
                    <w:rPr>
                      <w:sz w:val="20"/>
                      <w:szCs w:val="20"/>
                    </w:rPr>
                    <w:t>65 571 17 29</w:t>
                  </w:r>
                </w:p>
              </w:tc>
              <w:tc>
                <w:tcPr>
                  <w:tcW w:w="1300" w:type="dxa"/>
                  <w:tcBorders>
                    <w:top w:val="nil"/>
                    <w:left w:val="nil"/>
                    <w:bottom w:val="single" w:sz="4" w:space="0" w:color="auto"/>
                    <w:right w:val="single" w:sz="8" w:space="0" w:color="auto"/>
                  </w:tcBorders>
                  <w:shd w:val="clear" w:color="000000" w:fill="FFFFCC"/>
                  <w:noWrap/>
                  <w:vAlign w:val="center"/>
                </w:tcPr>
                <w:p w:rsidR="00BF72C9" w:rsidRPr="00847F70" w:rsidRDefault="00BF72C9" w:rsidP="00847F70">
                  <w:pPr>
                    <w:jc w:val="center"/>
                    <w:rPr>
                      <w:sz w:val="20"/>
                      <w:szCs w:val="20"/>
                    </w:rPr>
                  </w:pPr>
                  <w:r w:rsidRPr="00847F70">
                    <w:rPr>
                      <w:sz w:val="20"/>
                      <w:szCs w:val="20"/>
                    </w:rPr>
                    <w:t>65 571 17 29</w:t>
                  </w:r>
                </w:p>
              </w:tc>
            </w:tr>
            <w:tr w:rsidR="00BF72C9" w:rsidRPr="00847F70">
              <w:trPr>
                <w:trHeight w:val="315"/>
              </w:trPr>
              <w:tc>
                <w:tcPr>
                  <w:tcW w:w="1397" w:type="dxa"/>
                  <w:vMerge/>
                  <w:tcBorders>
                    <w:top w:val="nil"/>
                    <w:left w:val="single" w:sz="4" w:space="0" w:color="auto"/>
                    <w:bottom w:val="single" w:sz="8" w:space="0" w:color="000000"/>
                    <w:right w:val="single" w:sz="4" w:space="0" w:color="auto"/>
                  </w:tcBorders>
                  <w:vAlign w:val="center"/>
                </w:tcPr>
                <w:p w:rsidR="00BF72C9" w:rsidRPr="00847F70" w:rsidRDefault="00BF72C9" w:rsidP="00847F70">
                  <w:pPr>
                    <w:rPr>
                      <w:sz w:val="20"/>
                      <w:szCs w:val="20"/>
                    </w:rPr>
                  </w:pPr>
                </w:p>
              </w:tc>
              <w:tc>
                <w:tcPr>
                  <w:tcW w:w="2678" w:type="dxa"/>
                  <w:tcBorders>
                    <w:top w:val="nil"/>
                    <w:left w:val="nil"/>
                    <w:bottom w:val="single" w:sz="4" w:space="0" w:color="auto"/>
                    <w:right w:val="single" w:sz="4" w:space="0" w:color="auto"/>
                  </w:tcBorders>
                  <w:shd w:val="clear" w:color="000000" w:fill="EAF1DD"/>
                  <w:noWrap/>
                  <w:vAlign w:val="center"/>
                </w:tcPr>
                <w:p w:rsidR="00BF72C9" w:rsidRPr="00847F70" w:rsidRDefault="00BF72C9" w:rsidP="00847F70">
                  <w:pPr>
                    <w:rPr>
                      <w:sz w:val="20"/>
                      <w:szCs w:val="20"/>
                    </w:rPr>
                  </w:pPr>
                  <w:r w:rsidRPr="00847F70">
                    <w:rPr>
                      <w:sz w:val="20"/>
                      <w:szCs w:val="20"/>
                    </w:rPr>
                    <w:t>SARIA POLSKA Sp. z o.o.</w:t>
                  </w:r>
                </w:p>
              </w:tc>
              <w:tc>
                <w:tcPr>
                  <w:tcW w:w="2170" w:type="dxa"/>
                  <w:tcBorders>
                    <w:top w:val="nil"/>
                    <w:left w:val="nil"/>
                    <w:bottom w:val="single" w:sz="4" w:space="0" w:color="auto"/>
                    <w:right w:val="single" w:sz="4" w:space="0" w:color="auto"/>
                  </w:tcBorders>
                  <w:shd w:val="clear" w:color="000000" w:fill="EAF1DD"/>
                  <w:noWrap/>
                  <w:vAlign w:val="center"/>
                </w:tcPr>
                <w:p w:rsidR="00BF72C9" w:rsidRPr="00847F70" w:rsidRDefault="00BF72C9" w:rsidP="00847F70">
                  <w:pPr>
                    <w:jc w:val="center"/>
                    <w:rPr>
                      <w:sz w:val="20"/>
                      <w:szCs w:val="20"/>
                    </w:rPr>
                  </w:pPr>
                  <w:r w:rsidRPr="00847F70">
                    <w:rPr>
                      <w:sz w:val="20"/>
                      <w:szCs w:val="20"/>
                    </w:rPr>
                    <w:t>PL058045305-002</w:t>
                  </w:r>
                </w:p>
              </w:tc>
              <w:tc>
                <w:tcPr>
                  <w:tcW w:w="1517" w:type="dxa"/>
                  <w:tcBorders>
                    <w:top w:val="nil"/>
                    <w:left w:val="nil"/>
                    <w:bottom w:val="single" w:sz="4" w:space="0" w:color="auto"/>
                    <w:right w:val="single" w:sz="4" w:space="0" w:color="auto"/>
                  </w:tcBorders>
                  <w:shd w:val="clear" w:color="000000" w:fill="EAF1DD"/>
                  <w:noWrap/>
                  <w:vAlign w:val="center"/>
                </w:tcPr>
                <w:p w:rsidR="00BF72C9" w:rsidRPr="00847F70" w:rsidRDefault="00BF72C9" w:rsidP="00847F70">
                  <w:pPr>
                    <w:jc w:val="center"/>
                    <w:rPr>
                      <w:sz w:val="20"/>
                      <w:szCs w:val="20"/>
                    </w:rPr>
                  </w:pPr>
                  <w:r w:rsidRPr="00847F70">
                    <w:rPr>
                      <w:sz w:val="20"/>
                      <w:szCs w:val="20"/>
                    </w:rPr>
                    <w:t>12 387 30 65</w:t>
                  </w:r>
                </w:p>
              </w:tc>
              <w:tc>
                <w:tcPr>
                  <w:tcW w:w="1300" w:type="dxa"/>
                  <w:tcBorders>
                    <w:top w:val="nil"/>
                    <w:left w:val="nil"/>
                    <w:bottom w:val="single" w:sz="4" w:space="0" w:color="auto"/>
                    <w:right w:val="single" w:sz="8" w:space="0" w:color="auto"/>
                  </w:tcBorders>
                  <w:shd w:val="clear" w:color="000000" w:fill="EAF1DD"/>
                  <w:noWrap/>
                  <w:vAlign w:val="center"/>
                </w:tcPr>
                <w:p w:rsidR="00BF72C9" w:rsidRPr="00847F70" w:rsidRDefault="00BF72C9" w:rsidP="00847F70">
                  <w:pPr>
                    <w:jc w:val="center"/>
                    <w:rPr>
                      <w:sz w:val="20"/>
                      <w:szCs w:val="20"/>
                    </w:rPr>
                  </w:pPr>
                  <w:r w:rsidRPr="00847F70">
                    <w:rPr>
                      <w:sz w:val="20"/>
                      <w:szCs w:val="20"/>
                    </w:rPr>
                    <w:t>12 387 30 64</w:t>
                  </w:r>
                </w:p>
              </w:tc>
            </w:tr>
            <w:tr w:rsidR="00BF72C9" w:rsidRPr="00847F70">
              <w:trPr>
                <w:trHeight w:val="315"/>
              </w:trPr>
              <w:tc>
                <w:tcPr>
                  <w:tcW w:w="1397" w:type="dxa"/>
                  <w:vMerge/>
                  <w:tcBorders>
                    <w:top w:val="nil"/>
                    <w:left w:val="single" w:sz="4" w:space="0" w:color="auto"/>
                    <w:bottom w:val="single" w:sz="8" w:space="0" w:color="000000"/>
                    <w:right w:val="single" w:sz="4" w:space="0" w:color="auto"/>
                  </w:tcBorders>
                  <w:vAlign w:val="center"/>
                </w:tcPr>
                <w:p w:rsidR="00BF72C9" w:rsidRPr="00847F70" w:rsidRDefault="00BF72C9" w:rsidP="00847F70">
                  <w:pPr>
                    <w:rPr>
                      <w:sz w:val="20"/>
                      <w:szCs w:val="20"/>
                    </w:rPr>
                  </w:pPr>
                </w:p>
              </w:tc>
              <w:tc>
                <w:tcPr>
                  <w:tcW w:w="2678" w:type="dxa"/>
                  <w:tcBorders>
                    <w:top w:val="nil"/>
                    <w:left w:val="nil"/>
                    <w:bottom w:val="single" w:sz="4" w:space="0" w:color="auto"/>
                    <w:right w:val="single" w:sz="4" w:space="0" w:color="auto"/>
                  </w:tcBorders>
                  <w:shd w:val="clear" w:color="000000" w:fill="FFFFCC"/>
                  <w:noWrap/>
                  <w:vAlign w:val="center"/>
                </w:tcPr>
                <w:p w:rsidR="00BF72C9" w:rsidRPr="00847F70" w:rsidRDefault="00BF72C9" w:rsidP="00847F70">
                  <w:pPr>
                    <w:rPr>
                      <w:sz w:val="20"/>
                      <w:szCs w:val="20"/>
                    </w:rPr>
                  </w:pPr>
                  <w:r w:rsidRPr="00847F70">
                    <w:rPr>
                      <w:sz w:val="20"/>
                      <w:szCs w:val="20"/>
                    </w:rPr>
                    <w:t>PROMAROL-PLUS Sp. z o.o</w:t>
                  </w:r>
                </w:p>
              </w:tc>
              <w:tc>
                <w:tcPr>
                  <w:tcW w:w="2170" w:type="dxa"/>
                  <w:tcBorders>
                    <w:top w:val="nil"/>
                    <w:left w:val="nil"/>
                    <w:bottom w:val="single" w:sz="4" w:space="0" w:color="auto"/>
                    <w:right w:val="single" w:sz="4" w:space="0" w:color="auto"/>
                  </w:tcBorders>
                  <w:shd w:val="clear" w:color="000000" w:fill="FFFFCC"/>
                  <w:noWrap/>
                  <w:vAlign w:val="center"/>
                </w:tcPr>
                <w:p w:rsidR="00BF72C9" w:rsidRPr="00847F70" w:rsidRDefault="00BF72C9" w:rsidP="00847F70">
                  <w:pPr>
                    <w:jc w:val="center"/>
                    <w:rPr>
                      <w:sz w:val="20"/>
                      <w:szCs w:val="20"/>
                    </w:rPr>
                  </w:pPr>
                  <w:r w:rsidRPr="00847F70">
                    <w:rPr>
                      <w:sz w:val="20"/>
                      <w:szCs w:val="20"/>
                    </w:rPr>
                    <w:t>PL040428924-002</w:t>
                  </w:r>
                </w:p>
              </w:tc>
              <w:tc>
                <w:tcPr>
                  <w:tcW w:w="1517" w:type="dxa"/>
                  <w:tcBorders>
                    <w:top w:val="nil"/>
                    <w:left w:val="nil"/>
                    <w:bottom w:val="single" w:sz="4" w:space="0" w:color="auto"/>
                    <w:right w:val="single" w:sz="4" w:space="0" w:color="auto"/>
                  </w:tcBorders>
                  <w:shd w:val="clear" w:color="000000" w:fill="FFFFCC"/>
                  <w:noWrap/>
                  <w:vAlign w:val="center"/>
                </w:tcPr>
                <w:p w:rsidR="00BF72C9" w:rsidRPr="00847F70" w:rsidRDefault="00BF72C9" w:rsidP="00847F70">
                  <w:pPr>
                    <w:jc w:val="center"/>
                    <w:rPr>
                      <w:sz w:val="20"/>
                      <w:szCs w:val="20"/>
                    </w:rPr>
                  </w:pPr>
                  <w:r w:rsidRPr="00847F70">
                    <w:rPr>
                      <w:sz w:val="20"/>
                      <w:szCs w:val="20"/>
                    </w:rPr>
                    <w:t>65 549 32 97</w:t>
                  </w:r>
                </w:p>
              </w:tc>
              <w:tc>
                <w:tcPr>
                  <w:tcW w:w="1300" w:type="dxa"/>
                  <w:tcBorders>
                    <w:top w:val="nil"/>
                    <w:left w:val="nil"/>
                    <w:bottom w:val="single" w:sz="4" w:space="0" w:color="auto"/>
                    <w:right w:val="single" w:sz="8" w:space="0" w:color="auto"/>
                  </w:tcBorders>
                  <w:shd w:val="clear" w:color="000000" w:fill="FFFFCC"/>
                  <w:noWrap/>
                  <w:vAlign w:val="center"/>
                </w:tcPr>
                <w:p w:rsidR="00BF72C9" w:rsidRPr="00847F70" w:rsidRDefault="00BF72C9" w:rsidP="00847F70">
                  <w:pPr>
                    <w:jc w:val="center"/>
                    <w:rPr>
                      <w:sz w:val="20"/>
                      <w:szCs w:val="20"/>
                    </w:rPr>
                  </w:pPr>
                  <w:r w:rsidRPr="00847F70">
                    <w:rPr>
                      <w:sz w:val="20"/>
                      <w:szCs w:val="20"/>
                    </w:rPr>
                    <w:t>65 549 33 33</w:t>
                  </w:r>
                </w:p>
              </w:tc>
            </w:tr>
            <w:tr w:rsidR="00BF72C9" w:rsidRPr="00847F70">
              <w:trPr>
                <w:trHeight w:val="315"/>
              </w:trPr>
              <w:tc>
                <w:tcPr>
                  <w:tcW w:w="1397" w:type="dxa"/>
                  <w:vMerge/>
                  <w:tcBorders>
                    <w:top w:val="nil"/>
                    <w:left w:val="single" w:sz="4" w:space="0" w:color="auto"/>
                    <w:bottom w:val="single" w:sz="8" w:space="0" w:color="000000"/>
                    <w:right w:val="single" w:sz="4" w:space="0" w:color="auto"/>
                  </w:tcBorders>
                  <w:vAlign w:val="center"/>
                </w:tcPr>
                <w:p w:rsidR="00BF72C9" w:rsidRPr="00847F70" w:rsidRDefault="00BF72C9" w:rsidP="00847F70">
                  <w:pPr>
                    <w:rPr>
                      <w:sz w:val="20"/>
                      <w:szCs w:val="20"/>
                    </w:rPr>
                  </w:pPr>
                </w:p>
              </w:tc>
              <w:tc>
                <w:tcPr>
                  <w:tcW w:w="2678" w:type="dxa"/>
                  <w:tcBorders>
                    <w:top w:val="nil"/>
                    <w:left w:val="nil"/>
                    <w:bottom w:val="single" w:sz="4" w:space="0" w:color="auto"/>
                    <w:right w:val="single" w:sz="4" w:space="0" w:color="auto"/>
                  </w:tcBorders>
                  <w:shd w:val="clear" w:color="000000" w:fill="EAF1DD"/>
                  <w:noWrap/>
                  <w:vAlign w:val="center"/>
                </w:tcPr>
                <w:p w:rsidR="00BF72C9" w:rsidRPr="00847F70" w:rsidRDefault="00BF72C9" w:rsidP="00847F70">
                  <w:pPr>
                    <w:rPr>
                      <w:sz w:val="20"/>
                      <w:szCs w:val="20"/>
                    </w:rPr>
                  </w:pPr>
                  <w:r w:rsidRPr="00847F70">
                    <w:rPr>
                      <w:sz w:val="20"/>
                      <w:szCs w:val="20"/>
                    </w:rPr>
                    <w:t>JASTA Sp. z o.o.</w:t>
                  </w:r>
                </w:p>
              </w:tc>
              <w:tc>
                <w:tcPr>
                  <w:tcW w:w="2170" w:type="dxa"/>
                  <w:tcBorders>
                    <w:top w:val="nil"/>
                    <w:left w:val="nil"/>
                    <w:bottom w:val="single" w:sz="4" w:space="0" w:color="auto"/>
                    <w:right w:val="single" w:sz="4" w:space="0" w:color="auto"/>
                  </w:tcBorders>
                  <w:shd w:val="clear" w:color="000000" w:fill="EAF1DD"/>
                  <w:noWrap/>
                  <w:vAlign w:val="center"/>
                </w:tcPr>
                <w:p w:rsidR="00BF72C9" w:rsidRPr="00847F70" w:rsidRDefault="00BF72C9" w:rsidP="00847F70">
                  <w:pPr>
                    <w:jc w:val="center"/>
                    <w:rPr>
                      <w:sz w:val="20"/>
                      <w:szCs w:val="20"/>
                    </w:rPr>
                  </w:pPr>
                  <w:r w:rsidRPr="00847F70">
                    <w:rPr>
                      <w:sz w:val="20"/>
                      <w:szCs w:val="20"/>
                    </w:rPr>
                    <w:t>PL064942515-001</w:t>
                  </w:r>
                </w:p>
              </w:tc>
              <w:tc>
                <w:tcPr>
                  <w:tcW w:w="1517" w:type="dxa"/>
                  <w:tcBorders>
                    <w:top w:val="nil"/>
                    <w:left w:val="nil"/>
                    <w:bottom w:val="single" w:sz="4" w:space="0" w:color="auto"/>
                    <w:right w:val="single" w:sz="4" w:space="0" w:color="auto"/>
                  </w:tcBorders>
                  <w:shd w:val="clear" w:color="000000" w:fill="EAF1DD"/>
                  <w:noWrap/>
                  <w:vAlign w:val="center"/>
                </w:tcPr>
                <w:p w:rsidR="00BF72C9" w:rsidRPr="00847F70" w:rsidRDefault="00BF72C9" w:rsidP="00847F70">
                  <w:pPr>
                    <w:jc w:val="center"/>
                    <w:rPr>
                      <w:sz w:val="20"/>
                      <w:szCs w:val="20"/>
                    </w:rPr>
                  </w:pPr>
                  <w:r w:rsidRPr="00847F70">
                    <w:rPr>
                      <w:sz w:val="20"/>
                      <w:szCs w:val="20"/>
                    </w:rPr>
                    <w:t>80 006 03 33</w:t>
                  </w:r>
                </w:p>
              </w:tc>
              <w:tc>
                <w:tcPr>
                  <w:tcW w:w="1300" w:type="dxa"/>
                  <w:tcBorders>
                    <w:top w:val="nil"/>
                    <w:left w:val="nil"/>
                    <w:bottom w:val="single" w:sz="4" w:space="0" w:color="auto"/>
                    <w:right w:val="single" w:sz="8" w:space="0" w:color="auto"/>
                  </w:tcBorders>
                  <w:shd w:val="clear" w:color="000000" w:fill="EAF1DD"/>
                  <w:noWrap/>
                  <w:vAlign w:val="center"/>
                </w:tcPr>
                <w:p w:rsidR="00BF72C9" w:rsidRPr="00847F70" w:rsidRDefault="00BF72C9" w:rsidP="00847F70">
                  <w:pPr>
                    <w:jc w:val="center"/>
                    <w:rPr>
                      <w:sz w:val="20"/>
                      <w:szCs w:val="20"/>
                    </w:rPr>
                  </w:pPr>
                  <w:r w:rsidRPr="00847F70">
                    <w:rPr>
                      <w:sz w:val="20"/>
                      <w:szCs w:val="20"/>
                    </w:rPr>
                    <w:t>44 681 75 81</w:t>
                  </w:r>
                </w:p>
              </w:tc>
            </w:tr>
            <w:tr w:rsidR="00BF72C9" w:rsidRPr="00847F70">
              <w:trPr>
                <w:trHeight w:val="645"/>
              </w:trPr>
              <w:tc>
                <w:tcPr>
                  <w:tcW w:w="1397" w:type="dxa"/>
                  <w:vMerge/>
                  <w:tcBorders>
                    <w:top w:val="nil"/>
                    <w:left w:val="single" w:sz="4" w:space="0" w:color="auto"/>
                    <w:bottom w:val="single" w:sz="8" w:space="0" w:color="000000"/>
                    <w:right w:val="single" w:sz="4" w:space="0" w:color="auto"/>
                  </w:tcBorders>
                  <w:vAlign w:val="center"/>
                </w:tcPr>
                <w:p w:rsidR="00BF72C9" w:rsidRPr="00847F70" w:rsidRDefault="00BF72C9" w:rsidP="00847F70">
                  <w:pPr>
                    <w:rPr>
                      <w:sz w:val="20"/>
                      <w:szCs w:val="20"/>
                    </w:rPr>
                  </w:pPr>
                </w:p>
              </w:tc>
              <w:tc>
                <w:tcPr>
                  <w:tcW w:w="2678" w:type="dxa"/>
                  <w:tcBorders>
                    <w:top w:val="nil"/>
                    <w:left w:val="nil"/>
                    <w:bottom w:val="single" w:sz="8" w:space="0" w:color="auto"/>
                    <w:right w:val="single" w:sz="4" w:space="0" w:color="auto"/>
                  </w:tcBorders>
                  <w:shd w:val="clear" w:color="000000" w:fill="FFFFCC"/>
                  <w:noWrap/>
                  <w:vAlign w:val="center"/>
                </w:tcPr>
                <w:p w:rsidR="00BF72C9" w:rsidRPr="00847F70" w:rsidRDefault="00BF72C9" w:rsidP="00847F70">
                  <w:pPr>
                    <w:rPr>
                      <w:sz w:val="20"/>
                      <w:szCs w:val="20"/>
                    </w:rPr>
                  </w:pPr>
                  <w:r w:rsidRPr="00847F70">
                    <w:rPr>
                      <w:sz w:val="20"/>
                      <w:szCs w:val="20"/>
                    </w:rPr>
                    <w:t>ZR-P FARMUTIL HS SA</w:t>
                  </w:r>
                </w:p>
              </w:tc>
              <w:tc>
                <w:tcPr>
                  <w:tcW w:w="2170" w:type="dxa"/>
                  <w:tcBorders>
                    <w:top w:val="nil"/>
                    <w:left w:val="nil"/>
                    <w:bottom w:val="single" w:sz="8" w:space="0" w:color="auto"/>
                    <w:right w:val="single" w:sz="4" w:space="0" w:color="auto"/>
                  </w:tcBorders>
                  <w:shd w:val="clear" w:color="000000" w:fill="FFFFCC"/>
                  <w:vAlign w:val="center"/>
                </w:tcPr>
                <w:p w:rsidR="00BF72C9" w:rsidRPr="00847F70" w:rsidRDefault="00BF72C9" w:rsidP="00847F70">
                  <w:pPr>
                    <w:jc w:val="center"/>
                    <w:rPr>
                      <w:sz w:val="20"/>
                      <w:szCs w:val="20"/>
                    </w:rPr>
                  </w:pPr>
                  <w:r w:rsidRPr="00847F70">
                    <w:rPr>
                      <w:sz w:val="20"/>
                      <w:szCs w:val="20"/>
                    </w:rPr>
                    <w:t>PL061690436-002, PL061690436-010</w:t>
                  </w:r>
                </w:p>
              </w:tc>
              <w:tc>
                <w:tcPr>
                  <w:tcW w:w="1517" w:type="dxa"/>
                  <w:tcBorders>
                    <w:top w:val="nil"/>
                    <w:left w:val="nil"/>
                    <w:bottom w:val="single" w:sz="8" w:space="0" w:color="auto"/>
                    <w:right w:val="single" w:sz="4" w:space="0" w:color="auto"/>
                  </w:tcBorders>
                  <w:shd w:val="clear" w:color="000000" w:fill="FFFFCC"/>
                  <w:vAlign w:val="center"/>
                </w:tcPr>
                <w:p w:rsidR="00BF72C9" w:rsidRPr="00847F70" w:rsidRDefault="00BF72C9" w:rsidP="00847F70">
                  <w:pPr>
                    <w:jc w:val="center"/>
                    <w:rPr>
                      <w:sz w:val="20"/>
                      <w:szCs w:val="20"/>
                    </w:rPr>
                  </w:pPr>
                  <w:r w:rsidRPr="00847F70">
                    <w:rPr>
                      <w:sz w:val="20"/>
                      <w:szCs w:val="20"/>
                    </w:rPr>
                    <w:t>67 281 42 61,</w:t>
                  </w:r>
                  <w:r w:rsidRPr="00847F70">
                    <w:rPr>
                      <w:sz w:val="20"/>
                      <w:szCs w:val="20"/>
                    </w:rPr>
                    <w:br/>
                    <w:t>16 622 70 52</w:t>
                  </w:r>
                </w:p>
              </w:tc>
              <w:tc>
                <w:tcPr>
                  <w:tcW w:w="1300" w:type="dxa"/>
                  <w:tcBorders>
                    <w:top w:val="nil"/>
                    <w:left w:val="nil"/>
                    <w:bottom w:val="single" w:sz="8" w:space="0" w:color="auto"/>
                    <w:right w:val="single" w:sz="8" w:space="0" w:color="auto"/>
                  </w:tcBorders>
                  <w:shd w:val="clear" w:color="000000" w:fill="FFFFCC"/>
                  <w:vAlign w:val="center"/>
                </w:tcPr>
                <w:p w:rsidR="00BF72C9" w:rsidRPr="00847F70" w:rsidRDefault="00BF72C9" w:rsidP="00847F70">
                  <w:pPr>
                    <w:jc w:val="center"/>
                    <w:rPr>
                      <w:sz w:val="20"/>
                      <w:szCs w:val="20"/>
                    </w:rPr>
                  </w:pPr>
                  <w:r w:rsidRPr="00847F70">
                    <w:rPr>
                      <w:sz w:val="20"/>
                      <w:szCs w:val="20"/>
                    </w:rPr>
                    <w:t xml:space="preserve">67 281 42 73, </w:t>
                  </w:r>
                  <w:r w:rsidRPr="00847F70">
                    <w:rPr>
                      <w:sz w:val="20"/>
                      <w:szCs w:val="20"/>
                    </w:rPr>
                    <w:br/>
                    <w:t>16 622 79 46</w:t>
                  </w:r>
                </w:p>
              </w:tc>
            </w:tr>
          </w:tbl>
          <w:p w:rsidR="00BF72C9" w:rsidRDefault="00BF72C9" w:rsidP="00C16D36">
            <w:pPr>
              <w:jc w:val="center"/>
              <w:rPr>
                <w:rFonts w:ascii="Czcionka tekstu podstawowego" w:hAnsi="Czcionka tekstu podstawowego" w:cs="Czcionka tekstu podstawowego"/>
                <w:b/>
                <w:bCs/>
                <w:color w:val="000000"/>
                <w:sz w:val="20"/>
                <w:szCs w:val="20"/>
              </w:rPr>
            </w:pPr>
          </w:p>
          <w:p w:rsidR="00BF72C9" w:rsidRPr="00C16D36" w:rsidRDefault="00BF72C9" w:rsidP="00C16D36">
            <w:pPr>
              <w:jc w:val="center"/>
              <w:rPr>
                <w:rFonts w:ascii="Czcionka tekstu podstawowego" w:hAnsi="Czcionka tekstu podstawowego" w:cs="Czcionka tekstu podstawowego"/>
                <w:b/>
                <w:bCs/>
                <w:color w:val="000000"/>
                <w:sz w:val="20"/>
                <w:szCs w:val="20"/>
              </w:rPr>
            </w:pPr>
          </w:p>
        </w:tc>
      </w:tr>
    </w:tbl>
    <w:p w:rsidR="00BF72C9" w:rsidRDefault="00BF72C9" w:rsidP="00BF7109">
      <w:pPr>
        <w:shd w:val="clear" w:color="auto" w:fill="FFFFFF"/>
        <w:spacing w:before="100" w:beforeAutospacing="1" w:after="100" w:afterAutospacing="1"/>
        <w:jc w:val="both"/>
        <w:rPr>
          <w:color w:val="717276"/>
          <w:sz w:val="19"/>
          <w:szCs w:val="19"/>
        </w:rPr>
      </w:pPr>
      <w:r w:rsidRPr="00132ED9">
        <w:rPr>
          <w:sz w:val="20"/>
          <w:szCs w:val="20"/>
        </w:rPr>
        <w:t>Informacja ze strony internetowej:</w:t>
      </w:r>
      <w:r>
        <w:t xml:space="preserve"> </w:t>
      </w:r>
      <w:hyperlink r:id="rId12" w:history="1">
        <w:r w:rsidRPr="00957E66">
          <w:rPr>
            <w:rStyle w:val="Hyperlink"/>
          </w:rPr>
          <w:t>www.arimr.gov.pl</w:t>
        </w:r>
      </w:hyperlink>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rsidP="00104A1C">
      <w:pPr>
        <w:shd w:val="clear" w:color="auto" w:fill="FFFFFF"/>
        <w:spacing w:before="100" w:beforeAutospacing="1" w:after="100" w:afterAutospacing="1"/>
        <w:jc w:val="both"/>
        <w:rPr>
          <w:color w:val="717276"/>
          <w:sz w:val="19"/>
          <w:szCs w:val="19"/>
        </w:rPr>
      </w:pPr>
    </w:p>
    <w:p w:rsidR="00BF72C9" w:rsidRDefault="00BF72C9">
      <w:pPr>
        <w:rPr>
          <w:color w:val="717276"/>
          <w:sz w:val="19"/>
          <w:szCs w:val="19"/>
        </w:rPr>
        <w:sectPr w:rsidR="00BF72C9" w:rsidSect="00E269BF">
          <w:footerReference w:type="default" r:id="rId13"/>
          <w:footerReference w:type="first" r:id="rId14"/>
          <w:pgSz w:w="11906" w:h="16838"/>
          <w:pgMar w:top="993" w:right="1417" w:bottom="993" w:left="1417" w:header="708" w:footer="708" w:gutter="0"/>
          <w:cols w:space="708"/>
          <w:titlePg/>
          <w:docGrid w:linePitch="360"/>
        </w:sectPr>
      </w:pPr>
    </w:p>
    <w:p w:rsidR="00BF72C9" w:rsidRDefault="00BF72C9">
      <w:pPr>
        <w:rPr>
          <w:color w:val="717276"/>
          <w:sz w:val="19"/>
          <w:szCs w:val="19"/>
        </w:rPr>
      </w:pPr>
    </w:p>
    <w:p w:rsidR="00BF72C9" w:rsidRDefault="00BF72C9" w:rsidP="00633354">
      <w:pPr>
        <w:shd w:val="clear" w:color="auto" w:fill="FFFFFF"/>
        <w:jc w:val="both"/>
        <w:rPr>
          <w:b/>
          <w:bCs/>
        </w:rPr>
      </w:pPr>
      <w:r>
        <w:rPr>
          <w:b/>
          <w:bCs/>
        </w:rPr>
        <w:t>Zał. nr 1.2.</w:t>
      </w:r>
    </w:p>
    <w:p w:rsidR="00BF72C9" w:rsidRPr="00DD0B37" w:rsidRDefault="00BF72C9" w:rsidP="00DD0B37">
      <w:pPr>
        <w:rPr>
          <w:sz w:val="19"/>
          <w:szCs w:val="19"/>
        </w:rPr>
      </w:pPr>
    </w:p>
    <w:tbl>
      <w:tblPr>
        <w:tblW w:w="16517" w:type="dxa"/>
        <w:tblInd w:w="-900" w:type="dxa"/>
        <w:tblCellMar>
          <w:left w:w="70" w:type="dxa"/>
          <w:right w:w="70" w:type="dxa"/>
        </w:tblCellMar>
        <w:tblLook w:val="00A0"/>
      </w:tblPr>
      <w:tblGrid>
        <w:gridCol w:w="16517"/>
      </w:tblGrid>
      <w:tr w:rsidR="00BF72C9" w:rsidRPr="00633354" w:rsidTr="00873E79">
        <w:trPr>
          <w:trHeight w:val="1065"/>
        </w:trPr>
        <w:tc>
          <w:tcPr>
            <w:tcW w:w="16517" w:type="dxa"/>
            <w:tcBorders>
              <w:top w:val="nil"/>
              <w:left w:val="nil"/>
              <w:bottom w:val="single" w:sz="8" w:space="0" w:color="auto"/>
              <w:right w:val="nil"/>
            </w:tcBorders>
            <w:vAlign w:val="center"/>
          </w:tcPr>
          <w:p w:rsidR="00BF72C9" w:rsidRDefault="00BF72C9" w:rsidP="00633354">
            <w:pPr>
              <w:jc w:val="center"/>
              <w:rPr>
                <w:rFonts w:ascii="Czcionka tekstu podstawowego" w:hAnsi="Czcionka tekstu podstawowego" w:cs="Czcionka tekstu podstawowego"/>
                <w:b/>
                <w:bCs/>
                <w:color w:val="000000"/>
                <w:sz w:val="20"/>
                <w:szCs w:val="20"/>
              </w:rPr>
            </w:pPr>
            <w:bookmarkStart w:id="0" w:name="RANGE_A1_N11"/>
            <w:r w:rsidRPr="00633354">
              <w:rPr>
                <w:rFonts w:ascii="Czcionka tekstu podstawowego" w:hAnsi="Czcionka tekstu podstawowego" w:cs="Czcionka tekstu podstawowego"/>
                <w:b/>
                <w:bCs/>
                <w:color w:val="000000"/>
                <w:sz w:val="20"/>
                <w:szCs w:val="20"/>
              </w:rPr>
              <w:t xml:space="preserve">Maksymalne ceny jednostkowe usług zbioru transportu i unieszkodliwiania padłych zwierząt gospodarskich realizowanych przez podmioty utylizacyjne współpracujące z ARiMR, </w:t>
            </w:r>
            <w:r>
              <w:rPr>
                <w:rFonts w:ascii="Czcionka tekstu podstawowego" w:hAnsi="Czcionka tekstu podstawowego" w:cs="Czcionka tekstu podstawowego"/>
                <w:b/>
                <w:bCs/>
                <w:color w:val="000000"/>
                <w:sz w:val="20"/>
                <w:szCs w:val="20"/>
              </w:rPr>
              <w:t xml:space="preserve">na terenie województwa wielkopolskiego </w:t>
            </w:r>
            <w:r w:rsidRPr="00633354">
              <w:rPr>
                <w:rFonts w:ascii="Czcionka tekstu podstawowego" w:hAnsi="Czcionka tekstu podstawowego" w:cs="Czcionka tekstu podstawowego"/>
                <w:b/>
                <w:bCs/>
                <w:color w:val="000000"/>
                <w:sz w:val="20"/>
                <w:szCs w:val="20"/>
              </w:rPr>
              <w:t>obowiązujące od dnia 1 stycznia</w:t>
            </w:r>
            <w:r>
              <w:rPr>
                <w:rFonts w:ascii="Czcionka tekstu podstawowego" w:hAnsi="Czcionka tekstu podstawowego" w:cs="Czcionka tekstu podstawowego"/>
                <w:b/>
                <w:bCs/>
                <w:color w:val="000000"/>
                <w:sz w:val="20"/>
                <w:szCs w:val="20"/>
              </w:rPr>
              <w:t xml:space="preserve"> 2014</w:t>
            </w:r>
            <w:r w:rsidRPr="00633354">
              <w:rPr>
                <w:rFonts w:ascii="Czcionka tekstu podstawowego" w:hAnsi="Czcionka tekstu podstawowego" w:cs="Czcionka tekstu podstawowego"/>
                <w:b/>
                <w:bCs/>
                <w:color w:val="000000"/>
                <w:sz w:val="20"/>
                <w:szCs w:val="20"/>
              </w:rPr>
              <w:t xml:space="preserve"> roku.</w:t>
            </w:r>
            <w:bookmarkEnd w:id="0"/>
          </w:p>
          <w:p w:rsidR="00BF72C9" w:rsidRDefault="00BF72C9" w:rsidP="00633354">
            <w:pPr>
              <w:jc w:val="center"/>
              <w:rPr>
                <w:rFonts w:ascii="Czcionka tekstu podstawowego" w:hAnsi="Czcionka tekstu podstawowego" w:cs="Czcionka tekstu podstawowego"/>
                <w:b/>
                <w:bCs/>
                <w:color w:val="000000"/>
                <w:sz w:val="20"/>
                <w:szCs w:val="20"/>
              </w:rPr>
            </w:pPr>
          </w:p>
          <w:p w:rsidR="00BF72C9" w:rsidRDefault="00BF72C9" w:rsidP="00633354">
            <w:pPr>
              <w:jc w:val="center"/>
              <w:rPr>
                <w:rFonts w:ascii="Czcionka tekstu podstawowego" w:hAnsi="Czcionka tekstu podstawowego" w:cs="Czcionka tekstu podstawowego"/>
                <w:b/>
                <w:bCs/>
                <w:color w:val="000000"/>
                <w:sz w:val="20"/>
                <w:szCs w:val="20"/>
              </w:rPr>
            </w:pPr>
          </w:p>
          <w:p w:rsidR="00BF72C9" w:rsidRDefault="00BF72C9" w:rsidP="00633354">
            <w:pPr>
              <w:jc w:val="center"/>
              <w:rPr>
                <w:rFonts w:ascii="Czcionka tekstu podstawowego" w:hAnsi="Czcionka tekstu podstawowego" w:cs="Czcionka tekstu podstawowego"/>
                <w:b/>
                <w:bCs/>
                <w:color w:val="000000"/>
                <w:sz w:val="20"/>
                <w:szCs w:val="20"/>
              </w:rPr>
            </w:pPr>
          </w:p>
          <w:p w:rsidR="00BF72C9" w:rsidRDefault="00BF72C9" w:rsidP="00633354">
            <w:pPr>
              <w:jc w:val="center"/>
              <w:rPr>
                <w:rFonts w:ascii="Czcionka tekstu podstawowego" w:hAnsi="Czcionka tekstu podstawowego" w:cs="Czcionka tekstu podstawowego"/>
                <w:b/>
                <w:bCs/>
                <w:color w:val="000000"/>
                <w:sz w:val="20"/>
                <w:szCs w:val="20"/>
              </w:rPr>
            </w:pPr>
          </w:p>
          <w:tbl>
            <w:tblPr>
              <w:tblW w:w="16085" w:type="dxa"/>
              <w:tblInd w:w="3" w:type="dxa"/>
              <w:tblCellMar>
                <w:left w:w="70" w:type="dxa"/>
                <w:right w:w="70" w:type="dxa"/>
              </w:tblCellMar>
              <w:tblLook w:val="00A0"/>
            </w:tblPr>
            <w:tblGrid>
              <w:gridCol w:w="1420"/>
              <w:gridCol w:w="2616"/>
              <w:gridCol w:w="1276"/>
              <w:gridCol w:w="992"/>
              <w:gridCol w:w="1134"/>
              <w:gridCol w:w="993"/>
              <w:gridCol w:w="992"/>
              <w:gridCol w:w="1134"/>
              <w:gridCol w:w="1134"/>
              <w:gridCol w:w="1134"/>
              <w:gridCol w:w="1134"/>
              <w:gridCol w:w="992"/>
              <w:gridCol w:w="1134"/>
            </w:tblGrid>
            <w:tr w:rsidR="00BF72C9" w:rsidRPr="002F003B">
              <w:trPr>
                <w:trHeight w:val="285"/>
              </w:trPr>
              <w:tc>
                <w:tcPr>
                  <w:tcW w:w="1420" w:type="dxa"/>
                  <w:vMerge w:val="restart"/>
                  <w:tcBorders>
                    <w:top w:val="single" w:sz="8" w:space="0" w:color="auto"/>
                    <w:left w:val="single" w:sz="4" w:space="0" w:color="auto"/>
                    <w:bottom w:val="single" w:sz="4" w:space="0" w:color="auto"/>
                    <w:right w:val="single" w:sz="4" w:space="0" w:color="auto"/>
                  </w:tcBorders>
                  <w:shd w:val="clear" w:color="000000" w:fill="F2F2F2"/>
                  <w:noWrap/>
                  <w:vAlign w:val="center"/>
                </w:tcPr>
                <w:p w:rsidR="00BF72C9" w:rsidRPr="002F003B" w:rsidRDefault="00BF72C9" w:rsidP="002F003B">
                  <w:pPr>
                    <w:jc w:val="center"/>
                    <w:rPr>
                      <w:b/>
                      <w:bCs/>
                      <w:sz w:val="20"/>
                      <w:szCs w:val="20"/>
                    </w:rPr>
                  </w:pPr>
                  <w:r w:rsidRPr="002F003B">
                    <w:rPr>
                      <w:b/>
                      <w:bCs/>
                      <w:sz w:val="20"/>
                      <w:szCs w:val="20"/>
                    </w:rPr>
                    <w:t>Województwo</w:t>
                  </w:r>
                </w:p>
              </w:tc>
              <w:tc>
                <w:tcPr>
                  <w:tcW w:w="2616" w:type="dxa"/>
                  <w:vMerge w:val="restart"/>
                  <w:tcBorders>
                    <w:top w:val="single" w:sz="8" w:space="0" w:color="auto"/>
                    <w:left w:val="single" w:sz="4" w:space="0" w:color="auto"/>
                    <w:bottom w:val="single" w:sz="4" w:space="0" w:color="auto"/>
                    <w:right w:val="single" w:sz="4" w:space="0" w:color="auto"/>
                  </w:tcBorders>
                  <w:vAlign w:val="center"/>
                </w:tcPr>
                <w:p w:rsidR="00BF72C9" w:rsidRPr="002F003B" w:rsidRDefault="00BF72C9" w:rsidP="002F003B">
                  <w:pPr>
                    <w:jc w:val="center"/>
                    <w:rPr>
                      <w:b/>
                      <w:bCs/>
                      <w:sz w:val="20"/>
                      <w:szCs w:val="20"/>
                    </w:rPr>
                  </w:pPr>
                  <w:r w:rsidRPr="002F003B">
                    <w:rPr>
                      <w:b/>
                      <w:bCs/>
                      <w:sz w:val="20"/>
                      <w:szCs w:val="20"/>
                    </w:rPr>
                    <w:t>Nazwa Zakładu</w:t>
                  </w:r>
                </w:p>
              </w:tc>
              <w:tc>
                <w:tcPr>
                  <w:tcW w:w="5387" w:type="dxa"/>
                  <w:gridSpan w:val="5"/>
                  <w:tcBorders>
                    <w:top w:val="single" w:sz="8" w:space="0" w:color="auto"/>
                    <w:left w:val="nil"/>
                    <w:bottom w:val="single" w:sz="4" w:space="0" w:color="auto"/>
                    <w:right w:val="single" w:sz="4" w:space="0" w:color="auto"/>
                  </w:tcBorders>
                  <w:shd w:val="clear" w:color="000000" w:fill="F2F2F2"/>
                  <w:vAlign w:val="center"/>
                </w:tcPr>
                <w:p w:rsidR="00BF72C9" w:rsidRPr="002F003B" w:rsidRDefault="00BF72C9" w:rsidP="002F003B">
                  <w:pPr>
                    <w:jc w:val="center"/>
                    <w:rPr>
                      <w:b/>
                      <w:bCs/>
                      <w:sz w:val="20"/>
                      <w:szCs w:val="20"/>
                    </w:rPr>
                  </w:pPr>
                  <w:r w:rsidRPr="002F003B">
                    <w:rPr>
                      <w:b/>
                      <w:bCs/>
                      <w:sz w:val="20"/>
                      <w:szCs w:val="20"/>
                    </w:rPr>
                    <w:t>Za zbiór i transport</w:t>
                  </w:r>
                </w:p>
              </w:tc>
              <w:tc>
                <w:tcPr>
                  <w:tcW w:w="6662" w:type="dxa"/>
                  <w:gridSpan w:val="6"/>
                  <w:tcBorders>
                    <w:top w:val="single" w:sz="8" w:space="0" w:color="auto"/>
                    <w:left w:val="nil"/>
                    <w:bottom w:val="single" w:sz="4" w:space="0" w:color="auto"/>
                    <w:right w:val="single" w:sz="8" w:space="0" w:color="000000"/>
                  </w:tcBorders>
                  <w:shd w:val="clear" w:color="000000" w:fill="F2F2F2"/>
                  <w:vAlign w:val="center"/>
                </w:tcPr>
                <w:p w:rsidR="00BF72C9" w:rsidRPr="002F003B" w:rsidRDefault="00BF72C9" w:rsidP="002F003B">
                  <w:pPr>
                    <w:jc w:val="center"/>
                    <w:rPr>
                      <w:b/>
                      <w:bCs/>
                      <w:sz w:val="20"/>
                      <w:szCs w:val="20"/>
                    </w:rPr>
                  </w:pPr>
                  <w:r w:rsidRPr="002F003B">
                    <w:rPr>
                      <w:b/>
                      <w:bCs/>
                      <w:sz w:val="20"/>
                      <w:szCs w:val="20"/>
                    </w:rPr>
                    <w:t>Za unieszkodliwienie</w:t>
                  </w:r>
                </w:p>
              </w:tc>
            </w:tr>
            <w:tr w:rsidR="00BF72C9" w:rsidRPr="002F003B">
              <w:trPr>
                <w:trHeight w:val="285"/>
              </w:trPr>
              <w:tc>
                <w:tcPr>
                  <w:tcW w:w="1420" w:type="dxa"/>
                  <w:vMerge/>
                  <w:tcBorders>
                    <w:top w:val="single" w:sz="8" w:space="0" w:color="auto"/>
                    <w:left w:val="single" w:sz="4" w:space="0" w:color="auto"/>
                    <w:bottom w:val="single" w:sz="4" w:space="0" w:color="auto"/>
                    <w:right w:val="single" w:sz="4" w:space="0" w:color="auto"/>
                  </w:tcBorders>
                  <w:vAlign w:val="center"/>
                </w:tcPr>
                <w:p w:rsidR="00BF72C9" w:rsidRPr="002F003B" w:rsidRDefault="00BF72C9" w:rsidP="002F003B">
                  <w:pPr>
                    <w:rPr>
                      <w:b/>
                      <w:bCs/>
                      <w:sz w:val="20"/>
                      <w:szCs w:val="20"/>
                    </w:rPr>
                  </w:pPr>
                </w:p>
              </w:tc>
              <w:tc>
                <w:tcPr>
                  <w:tcW w:w="2616" w:type="dxa"/>
                  <w:vMerge/>
                  <w:tcBorders>
                    <w:top w:val="single" w:sz="8" w:space="0" w:color="auto"/>
                    <w:left w:val="single" w:sz="4" w:space="0" w:color="auto"/>
                    <w:bottom w:val="single" w:sz="4" w:space="0" w:color="auto"/>
                    <w:right w:val="single" w:sz="4" w:space="0" w:color="auto"/>
                  </w:tcBorders>
                  <w:vAlign w:val="center"/>
                </w:tcPr>
                <w:p w:rsidR="00BF72C9" w:rsidRPr="002F003B" w:rsidRDefault="00BF72C9" w:rsidP="002F003B">
                  <w:pPr>
                    <w:rPr>
                      <w:b/>
                      <w:bCs/>
                      <w:sz w:val="20"/>
                      <w:szCs w:val="20"/>
                    </w:rPr>
                  </w:pPr>
                </w:p>
              </w:tc>
              <w:tc>
                <w:tcPr>
                  <w:tcW w:w="1276" w:type="dxa"/>
                  <w:vMerge w:val="restart"/>
                  <w:tcBorders>
                    <w:top w:val="nil"/>
                    <w:left w:val="single" w:sz="4" w:space="0" w:color="auto"/>
                    <w:bottom w:val="single" w:sz="4" w:space="0" w:color="auto"/>
                    <w:right w:val="single" w:sz="4" w:space="0" w:color="auto"/>
                  </w:tcBorders>
                  <w:shd w:val="clear" w:color="000000" w:fill="F2F2F2"/>
                  <w:vAlign w:val="center"/>
                </w:tcPr>
                <w:p w:rsidR="00BF72C9" w:rsidRPr="002F003B" w:rsidRDefault="00BF72C9" w:rsidP="002F003B">
                  <w:pPr>
                    <w:jc w:val="center"/>
                    <w:rPr>
                      <w:b/>
                      <w:bCs/>
                      <w:sz w:val="16"/>
                      <w:szCs w:val="16"/>
                    </w:rPr>
                  </w:pPr>
                  <w:r w:rsidRPr="002F003B">
                    <w:rPr>
                      <w:b/>
                      <w:bCs/>
                      <w:sz w:val="16"/>
                      <w:szCs w:val="16"/>
                    </w:rPr>
                    <w:t xml:space="preserve">Padłej sztuki z gatunku bydło, owce, kozy lub konie </w:t>
                  </w:r>
                </w:p>
              </w:tc>
              <w:tc>
                <w:tcPr>
                  <w:tcW w:w="4111" w:type="dxa"/>
                  <w:gridSpan w:val="4"/>
                  <w:tcBorders>
                    <w:top w:val="single" w:sz="4" w:space="0" w:color="auto"/>
                    <w:left w:val="nil"/>
                    <w:bottom w:val="single" w:sz="4" w:space="0" w:color="auto"/>
                    <w:right w:val="single" w:sz="4" w:space="0" w:color="auto"/>
                  </w:tcBorders>
                  <w:shd w:val="clear" w:color="000000" w:fill="F2F2F2"/>
                  <w:vAlign w:val="center"/>
                </w:tcPr>
                <w:p w:rsidR="00BF72C9" w:rsidRPr="002F003B" w:rsidRDefault="00BF72C9" w:rsidP="002F003B">
                  <w:pPr>
                    <w:jc w:val="center"/>
                    <w:rPr>
                      <w:b/>
                      <w:bCs/>
                      <w:sz w:val="16"/>
                      <w:szCs w:val="16"/>
                    </w:rPr>
                  </w:pPr>
                  <w:r w:rsidRPr="002F003B">
                    <w:rPr>
                      <w:b/>
                      <w:bCs/>
                      <w:sz w:val="16"/>
                      <w:szCs w:val="16"/>
                    </w:rPr>
                    <w:t>Padłej sztuki z gatunku świnie, w tym:</w:t>
                  </w:r>
                </w:p>
              </w:tc>
              <w:tc>
                <w:tcPr>
                  <w:tcW w:w="1134" w:type="dxa"/>
                  <w:vMerge w:val="restart"/>
                  <w:tcBorders>
                    <w:top w:val="nil"/>
                    <w:left w:val="single" w:sz="4" w:space="0" w:color="auto"/>
                    <w:bottom w:val="single" w:sz="4" w:space="0" w:color="auto"/>
                    <w:right w:val="single" w:sz="4" w:space="0" w:color="auto"/>
                  </w:tcBorders>
                  <w:shd w:val="clear" w:color="000000" w:fill="F2F2F2"/>
                  <w:vAlign w:val="center"/>
                </w:tcPr>
                <w:p w:rsidR="00BF72C9" w:rsidRPr="002F003B" w:rsidRDefault="00BF72C9" w:rsidP="002F003B">
                  <w:pPr>
                    <w:jc w:val="center"/>
                    <w:rPr>
                      <w:b/>
                      <w:bCs/>
                      <w:sz w:val="16"/>
                      <w:szCs w:val="16"/>
                    </w:rPr>
                  </w:pPr>
                  <w:r w:rsidRPr="002F003B">
                    <w:rPr>
                      <w:b/>
                      <w:bCs/>
                      <w:sz w:val="16"/>
                      <w:szCs w:val="16"/>
                    </w:rPr>
                    <w:t xml:space="preserve">Sztuki dużej (SD) - </w:t>
                  </w:r>
                  <w:r w:rsidRPr="002F003B">
                    <w:rPr>
                      <w:b/>
                      <w:bCs/>
                      <w:i/>
                      <w:iCs/>
                      <w:sz w:val="16"/>
                      <w:szCs w:val="16"/>
                    </w:rPr>
                    <w:t>(bydło i konie w wieku 12 i więcej miesięcy)</w:t>
                  </w:r>
                </w:p>
              </w:tc>
              <w:tc>
                <w:tcPr>
                  <w:tcW w:w="1134" w:type="dxa"/>
                  <w:vMerge w:val="restart"/>
                  <w:tcBorders>
                    <w:top w:val="nil"/>
                    <w:left w:val="single" w:sz="4" w:space="0" w:color="auto"/>
                    <w:bottom w:val="single" w:sz="4" w:space="0" w:color="auto"/>
                    <w:right w:val="single" w:sz="4" w:space="0" w:color="auto"/>
                  </w:tcBorders>
                  <w:shd w:val="clear" w:color="000000" w:fill="F2F2F2"/>
                  <w:vAlign w:val="center"/>
                </w:tcPr>
                <w:p w:rsidR="00BF72C9" w:rsidRPr="002F003B" w:rsidRDefault="00BF72C9" w:rsidP="002F003B">
                  <w:pPr>
                    <w:jc w:val="center"/>
                    <w:rPr>
                      <w:b/>
                      <w:bCs/>
                      <w:sz w:val="16"/>
                      <w:szCs w:val="16"/>
                    </w:rPr>
                  </w:pPr>
                  <w:r w:rsidRPr="002F003B">
                    <w:rPr>
                      <w:b/>
                      <w:bCs/>
                      <w:sz w:val="16"/>
                      <w:szCs w:val="16"/>
                    </w:rPr>
                    <w:t xml:space="preserve">Sztuki małej (SM) - </w:t>
                  </w:r>
                  <w:r w:rsidRPr="002F003B">
                    <w:rPr>
                      <w:b/>
                      <w:bCs/>
                      <w:i/>
                      <w:iCs/>
                      <w:sz w:val="16"/>
                      <w:szCs w:val="16"/>
                    </w:rPr>
                    <w:t>(bydło i konie w wieku poniżej 12 miesięcy oraz owce i kozy niezależnie od wieku)</w:t>
                  </w:r>
                </w:p>
              </w:tc>
              <w:tc>
                <w:tcPr>
                  <w:tcW w:w="4394" w:type="dxa"/>
                  <w:gridSpan w:val="4"/>
                  <w:tcBorders>
                    <w:top w:val="single" w:sz="4" w:space="0" w:color="auto"/>
                    <w:left w:val="nil"/>
                    <w:bottom w:val="single" w:sz="4" w:space="0" w:color="auto"/>
                    <w:right w:val="single" w:sz="8" w:space="0" w:color="000000"/>
                  </w:tcBorders>
                  <w:shd w:val="clear" w:color="000000" w:fill="F2F2F2"/>
                  <w:vAlign w:val="center"/>
                </w:tcPr>
                <w:p w:rsidR="00BF72C9" w:rsidRPr="002F003B" w:rsidRDefault="00BF72C9" w:rsidP="002F003B">
                  <w:pPr>
                    <w:jc w:val="center"/>
                    <w:rPr>
                      <w:b/>
                      <w:bCs/>
                      <w:sz w:val="16"/>
                      <w:szCs w:val="16"/>
                    </w:rPr>
                  </w:pPr>
                  <w:r w:rsidRPr="002F003B">
                    <w:rPr>
                      <w:b/>
                      <w:bCs/>
                      <w:sz w:val="16"/>
                      <w:szCs w:val="16"/>
                    </w:rPr>
                    <w:t>Sztuki z gatunku świnie, w tym:</w:t>
                  </w:r>
                </w:p>
              </w:tc>
            </w:tr>
            <w:tr w:rsidR="00BF72C9" w:rsidRPr="002F003B">
              <w:trPr>
                <w:trHeight w:val="1590"/>
              </w:trPr>
              <w:tc>
                <w:tcPr>
                  <w:tcW w:w="1420" w:type="dxa"/>
                  <w:vMerge/>
                  <w:tcBorders>
                    <w:top w:val="single" w:sz="8" w:space="0" w:color="auto"/>
                    <w:left w:val="single" w:sz="4" w:space="0" w:color="auto"/>
                    <w:bottom w:val="single" w:sz="4" w:space="0" w:color="auto"/>
                    <w:right w:val="single" w:sz="4" w:space="0" w:color="auto"/>
                  </w:tcBorders>
                  <w:vAlign w:val="center"/>
                </w:tcPr>
                <w:p w:rsidR="00BF72C9" w:rsidRPr="002F003B" w:rsidRDefault="00BF72C9" w:rsidP="002F003B">
                  <w:pPr>
                    <w:rPr>
                      <w:b/>
                      <w:bCs/>
                      <w:sz w:val="20"/>
                      <w:szCs w:val="20"/>
                    </w:rPr>
                  </w:pPr>
                </w:p>
              </w:tc>
              <w:tc>
                <w:tcPr>
                  <w:tcW w:w="2616" w:type="dxa"/>
                  <w:vMerge/>
                  <w:tcBorders>
                    <w:top w:val="single" w:sz="8" w:space="0" w:color="auto"/>
                    <w:left w:val="single" w:sz="4" w:space="0" w:color="auto"/>
                    <w:bottom w:val="single" w:sz="4" w:space="0" w:color="auto"/>
                    <w:right w:val="single" w:sz="4" w:space="0" w:color="auto"/>
                  </w:tcBorders>
                  <w:vAlign w:val="center"/>
                </w:tcPr>
                <w:p w:rsidR="00BF72C9" w:rsidRPr="002F003B" w:rsidRDefault="00BF72C9" w:rsidP="002F003B">
                  <w:pPr>
                    <w:rPr>
                      <w:b/>
                      <w:bCs/>
                      <w:sz w:val="20"/>
                      <w:szCs w:val="20"/>
                    </w:rPr>
                  </w:pPr>
                </w:p>
              </w:tc>
              <w:tc>
                <w:tcPr>
                  <w:tcW w:w="1276" w:type="dxa"/>
                  <w:vMerge/>
                  <w:tcBorders>
                    <w:top w:val="nil"/>
                    <w:left w:val="single" w:sz="4" w:space="0" w:color="auto"/>
                    <w:bottom w:val="single" w:sz="4" w:space="0" w:color="auto"/>
                    <w:right w:val="single" w:sz="4" w:space="0" w:color="auto"/>
                  </w:tcBorders>
                  <w:vAlign w:val="center"/>
                </w:tcPr>
                <w:p w:rsidR="00BF72C9" w:rsidRPr="002F003B" w:rsidRDefault="00BF72C9" w:rsidP="002F003B">
                  <w:pPr>
                    <w:rPr>
                      <w:b/>
                      <w:bCs/>
                      <w:sz w:val="16"/>
                      <w:szCs w:val="16"/>
                    </w:rPr>
                  </w:pPr>
                </w:p>
              </w:tc>
              <w:tc>
                <w:tcPr>
                  <w:tcW w:w="992" w:type="dxa"/>
                  <w:tcBorders>
                    <w:top w:val="nil"/>
                    <w:left w:val="nil"/>
                    <w:bottom w:val="nil"/>
                    <w:right w:val="single" w:sz="4" w:space="0" w:color="auto"/>
                  </w:tcBorders>
                  <w:shd w:val="clear" w:color="000000" w:fill="F2F2F2"/>
                  <w:vAlign w:val="center"/>
                </w:tcPr>
                <w:p w:rsidR="00BF72C9" w:rsidRPr="002F003B" w:rsidRDefault="00BF72C9" w:rsidP="002F003B">
                  <w:pPr>
                    <w:jc w:val="center"/>
                    <w:rPr>
                      <w:b/>
                      <w:bCs/>
                      <w:sz w:val="16"/>
                      <w:szCs w:val="16"/>
                    </w:rPr>
                  </w:pPr>
                  <w:r w:rsidRPr="002F003B">
                    <w:rPr>
                      <w:b/>
                      <w:bCs/>
                      <w:sz w:val="16"/>
                      <w:szCs w:val="16"/>
                    </w:rPr>
                    <w:t>sztuki o masie ciała do 20 kg.</w:t>
                  </w:r>
                </w:p>
              </w:tc>
              <w:tc>
                <w:tcPr>
                  <w:tcW w:w="1134" w:type="dxa"/>
                  <w:tcBorders>
                    <w:top w:val="nil"/>
                    <w:left w:val="nil"/>
                    <w:bottom w:val="nil"/>
                    <w:right w:val="single" w:sz="4" w:space="0" w:color="auto"/>
                  </w:tcBorders>
                  <w:shd w:val="clear" w:color="000000" w:fill="F2F2F2"/>
                  <w:vAlign w:val="center"/>
                </w:tcPr>
                <w:p w:rsidR="00BF72C9" w:rsidRPr="002F003B" w:rsidRDefault="00BF72C9" w:rsidP="002F003B">
                  <w:pPr>
                    <w:jc w:val="center"/>
                    <w:rPr>
                      <w:b/>
                      <w:bCs/>
                      <w:sz w:val="16"/>
                      <w:szCs w:val="16"/>
                    </w:rPr>
                  </w:pPr>
                  <w:r w:rsidRPr="002F003B">
                    <w:rPr>
                      <w:b/>
                      <w:bCs/>
                      <w:sz w:val="16"/>
                      <w:szCs w:val="16"/>
                    </w:rPr>
                    <w:t>sztuki o masie ciała powyżej 20 do 50 kg.</w:t>
                  </w:r>
                </w:p>
              </w:tc>
              <w:tc>
                <w:tcPr>
                  <w:tcW w:w="993" w:type="dxa"/>
                  <w:tcBorders>
                    <w:top w:val="nil"/>
                    <w:left w:val="nil"/>
                    <w:bottom w:val="nil"/>
                    <w:right w:val="single" w:sz="4" w:space="0" w:color="auto"/>
                  </w:tcBorders>
                  <w:shd w:val="clear" w:color="000000" w:fill="F2F2F2"/>
                  <w:vAlign w:val="center"/>
                </w:tcPr>
                <w:p w:rsidR="00BF72C9" w:rsidRPr="002F003B" w:rsidRDefault="00BF72C9" w:rsidP="002F003B">
                  <w:pPr>
                    <w:jc w:val="center"/>
                    <w:rPr>
                      <w:b/>
                      <w:bCs/>
                      <w:sz w:val="16"/>
                      <w:szCs w:val="16"/>
                    </w:rPr>
                  </w:pPr>
                  <w:r w:rsidRPr="002F003B">
                    <w:rPr>
                      <w:b/>
                      <w:bCs/>
                      <w:sz w:val="16"/>
                      <w:szCs w:val="16"/>
                    </w:rPr>
                    <w:t>sztuki o masie ciała powyżej 50 do 110 kg.</w:t>
                  </w:r>
                </w:p>
              </w:tc>
              <w:tc>
                <w:tcPr>
                  <w:tcW w:w="992" w:type="dxa"/>
                  <w:tcBorders>
                    <w:top w:val="nil"/>
                    <w:left w:val="nil"/>
                    <w:bottom w:val="nil"/>
                    <w:right w:val="single" w:sz="4" w:space="0" w:color="auto"/>
                  </w:tcBorders>
                  <w:shd w:val="clear" w:color="000000" w:fill="F2F2F2"/>
                  <w:vAlign w:val="center"/>
                </w:tcPr>
                <w:p w:rsidR="00BF72C9" w:rsidRPr="002F003B" w:rsidRDefault="00BF72C9" w:rsidP="002F003B">
                  <w:pPr>
                    <w:jc w:val="center"/>
                    <w:rPr>
                      <w:b/>
                      <w:bCs/>
                      <w:sz w:val="16"/>
                      <w:szCs w:val="16"/>
                    </w:rPr>
                  </w:pPr>
                  <w:r w:rsidRPr="002F003B">
                    <w:rPr>
                      <w:b/>
                      <w:bCs/>
                      <w:sz w:val="16"/>
                      <w:szCs w:val="16"/>
                    </w:rPr>
                    <w:t>sztuki o masie ciała powyżej 110 kg.</w:t>
                  </w:r>
                </w:p>
              </w:tc>
              <w:tc>
                <w:tcPr>
                  <w:tcW w:w="1134" w:type="dxa"/>
                  <w:vMerge/>
                  <w:tcBorders>
                    <w:top w:val="nil"/>
                    <w:left w:val="single" w:sz="4" w:space="0" w:color="auto"/>
                    <w:bottom w:val="single" w:sz="4" w:space="0" w:color="auto"/>
                    <w:right w:val="single" w:sz="4" w:space="0" w:color="auto"/>
                  </w:tcBorders>
                  <w:vAlign w:val="center"/>
                </w:tcPr>
                <w:p w:rsidR="00BF72C9" w:rsidRPr="002F003B" w:rsidRDefault="00BF72C9" w:rsidP="002F003B">
                  <w:pPr>
                    <w:rPr>
                      <w:b/>
                      <w:bCs/>
                      <w:sz w:val="16"/>
                      <w:szCs w:val="16"/>
                    </w:rPr>
                  </w:pPr>
                </w:p>
              </w:tc>
              <w:tc>
                <w:tcPr>
                  <w:tcW w:w="1134" w:type="dxa"/>
                  <w:vMerge/>
                  <w:tcBorders>
                    <w:top w:val="nil"/>
                    <w:left w:val="single" w:sz="4" w:space="0" w:color="auto"/>
                    <w:bottom w:val="single" w:sz="4" w:space="0" w:color="auto"/>
                    <w:right w:val="single" w:sz="4" w:space="0" w:color="auto"/>
                  </w:tcBorders>
                  <w:vAlign w:val="center"/>
                </w:tcPr>
                <w:p w:rsidR="00BF72C9" w:rsidRPr="002F003B" w:rsidRDefault="00BF72C9" w:rsidP="002F003B">
                  <w:pPr>
                    <w:rPr>
                      <w:b/>
                      <w:bCs/>
                      <w:sz w:val="16"/>
                      <w:szCs w:val="16"/>
                    </w:rPr>
                  </w:pPr>
                </w:p>
              </w:tc>
              <w:tc>
                <w:tcPr>
                  <w:tcW w:w="1134" w:type="dxa"/>
                  <w:tcBorders>
                    <w:top w:val="nil"/>
                    <w:left w:val="nil"/>
                    <w:bottom w:val="nil"/>
                    <w:right w:val="single" w:sz="4" w:space="0" w:color="auto"/>
                  </w:tcBorders>
                  <w:shd w:val="clear" w:color="000000" w:fill="F2F2F2"/>
                  <w:vAlign w:val="center"/>
                </w:tcPr>
                <w:p w:rsidR="00BF72C9" w:rsidRPr="002F003B" w:rsidRDefault="00BF72C9" w:rsidP="002F003B">
                  <w:pPr>
                    <w:jc w:val="center"/>
                    <w:rPr>
                      <w:b/>
                      <w:bCs/>
                      <w:sz w:val="16"/>
                      <w:szCs w:val="16"/>
                    </w:rPr>
                  </w:pPr>
                  <w:r w:rsidRPr="002F003B">
                    <w:rPr>
                      <w:b/>
                      <w:bCs/>
                      <w:sz w:val="16"/>
                      <w:szCs w:val="16"/>
                    </w:rPr>
                    <w:t>sztuki o masie ciała do 20 kg.</w:t>
                  </w:r>
                </w:p>
              </w:tc>
              <w:tc>
                <w:tcPr>
                  <w:tcW w:w="1134" w:type="dxa"/>
                  <w:tcBorders>
                    <w:top w:val="nil"/>
                    <w:left w:val="nil"/>
                    <w:bottom w:val="nil"/>
                    <w:right w:val="single" w:sz="4" w:space="0" w:color="auto"/>
                  </w:tcBorders>
                  <w:shd w:val="clear" w:color="000000" w:fill="F2F2F2"/>
                  <w:vAlign w:val="center"/>
                </w:tcPr>
                <w:p w:rsidR="00BF72C9" w:rsidRPr="002F003B" w:rsidRDefault="00BF72C9" w:rsidP="002F003B">
                  <w:pPr>
                    <w:jc w:val="center"/>
                    <w:rPr>
                      <w:b/>
                      <w:bCs/>
                      <w:sz w:val="16"/>
                      <w:szCs w:val="16"/>
                    </w:rPr>
                  </w:pPr>
                  <w:r w:rsidRPr="002F003B">
                    <w:rPr>
                      <w:b/>
                      <w:bCs/>
                      <w:sz w:val="16"/>
                      <w:szCs w:val="16"/>
                    </w:rPr>
                    <w:t>sztuki o masie ciała powyżej 20 do 50 kg.</w:t>
                  </w:r>
                </w:p>
              </w:tc>
              <w:tc>
                <w:tcPr>
                  <w:tcW w:w="992" w:type="dxa"/>
                  <w:tcBorders>
                    <w:top w:val="nil"/>
                    <w:left w:val="nil"/>
                    <w:bottom w:val="nil"/>
                    <w:right w:val="single" w:sz="4" w:space="0" w:color="auto"/>
                  </w:tcBorders>
                  <w:shd w:val="clear" w:color="000000" w:fill="F2F2F2"/>
                  <w:vAlign w:val="center"/>
                </w:tcPr>
                <w:p w:rsidR="00BF72C9" w:rsidRPr="002F003B" w:rsidRDefault="00BF72C9" w:rsidP="002F003B">
                  <w:pPr>
                    <w:jc w:val="center"/>
                    <w:rPr>
                      <w:b/>
                      <w:bCs/>
                      <w:sz w:val="16"/>
                      <w:szCs w:val="16"/>
                    </w:rPr>
                  </w:pPr>
                  <w:r w:rsidRPr="002F003B">
                    <w:rPr>
                      <w:b/>
                      <w:bCs/>
                      <w:sz w:val="16"/>
                      <w:szCs w:val="16"/>
                    </w:rPr>
                    <w:t>sztuki o masie ciała powyżej 50 do 110 kg.</w:t>
                  </w:r>
                </w:p>
              </w:tc>
              <w:tc>
                <w:tcPr>
                  <w:tcW w:w="1134" w:type="dxa"/>
                  <w:tcBorders>
                    <w:top w:val="nil"/>
                    <w:left w:val="nil"/>
                    <w:bottom w:val="nil"/>
                    <w:right w:val="single" w:sz="8" w:space="0" w:color="auto"/>
                  </w:tcBorders>
                  <w:shd w:val="clear" w:color="000000" w:fill="F2F2F2"/>
                  <w:vAlign w:val="center"/>
                </w:tcPr>
                <w:p w:rsidR="00BF72C9" w:rsidRPr="002F003B" w:rsidRDefault="00BF72C9" w:rsidP="002F003B">
                  <w:pPr>
                    <w:jc w:val="center"/>
                    <w:rPr>
                      <w:b/>
                      <w:bCs/>
                      <w:sz w:val="16"/>
                      <w:szCs w:val="16"/>
                    </w:rPr>
                  </w:pPr>
                  <w:r w:rsidRPr="002F003B">
                    <w:rPr>
                      <w:b/>
                      <w:bCs/>
                      <w:sz w:val="16"/>
                      <w:szCs w:val="16"/>
                    </w:rPr>
                    <w:t>sztuki o masie ciała powyżej 110 kg.</w:t>
                  </w:r>
                </w:p>
              </w:tc>
            </w:tr>
            <w:tr w:rsidR="00BF72C9" w:rsidRPr="002F003B">
              <w:trPr>
                <w:trHeight w:val="315"/>
              </w:trPr>
              <w:tc>
                <w:tcPr>
                  <w:tcW w:w="142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tcPr>
                <w:p w:rsidR="00BF72C9" w:rsidRPr="002F003B" w:rsidRDefault="00BF72C9" w:rsidP="00EF3674">
                  <w:pPr>
                    <w:jc w:val="center"/>
                    <w:rPr>
                      <w:sz w:val="20"/>
                      <w:szCs w:val="20"/>
                    </w:rPr>
                  </w:pPr>
                  <w:r w:rsidRPr="002F003B">
                    <w:rPr>
                      <w:sz w:val="20"/>
                      <w:szCs w:val="20"/>
                    </w:rPr>
                    <w:t>Wielkopolskie</w:t>
                  </w:r>
                </w:p>
              </w:tc>
              <w:tc>
                <w:tcPr>
                  <w:tcW w:w="2616" w:type="dxa"/>
                  <w:tcBorders>
                    <w:top w:val="single" w:sz="8" w:space="0" w:color="auto"/>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sz w:val="20"/>
                      <w:szCs w:val="20"/>
                    </w:rPr>
                  </w:pPr>
                  <w:r w:rsidRPr="002F003B">
                    <w:rPr>
                      <w:color w:val="000000"/>
                      <w:sz w:val="20"/>
                      <w:szCs w:val="20"/>
                    </w:rPr>
                    <w:t>EKO-STOK Sp. z o.o.</w:t>
                  </w:r>
                </w:p>
              </w:tc>
              <w:tc>
                <w:tcPr>
                  <w:tcW w:w="1276" w:type="dxa"/>
                  <w:tcBorders>
                    <w:top w:val="single" w:sz="8" w:space="0" w:color="auto"/>
                    <w:left w:val="nil"/>
                    <w:bottom w:val="single" w:sz="4" w:space="0" w:color="auto"/>
                    <w:right w:val="single" w:sz="4" w:space="0" w:color="auto"/>
                  </w:tcBorders>
                  <w:shd w:val="clear" w:color="000000" w:fill="FDE9D9"/>
                  <w:noWrap/>
                  <w:vAlign w:val="center"/>
                </w:tcPr>
                <w:p w:rsidR="00BF72C9" w:rsidRPr="002F003B" w:rsidRDefault="00BF72C9" w:rsidP="00EF3674">
                  <w:pPr>
                    <w:jc w:val="center"/>
                  </w:pPr>
                  <w:r w:rsidRPr="002F003B">
                    <w:t>127,55</w:t>
                  </w:r>
                </w:p>
              </w:tc>
              <w:tc>
                <w:tcPr>
                  <w:tcW w:w="992" w:type="dxa"/>
                  <w:tcBorders>
                    <w:top w:val="single" w:sz="8" w:space="0" w:color="auto"/>
                    <w:left w:val="nil"/>
                    <w:bottom w:val="single" w:sz="4" w:space="0" w:color="auto"/>
                    <w:right w:val="single" w:sz="4" w:space="0" w:color="auto"/>
                  </w:tcBorders>
                  <w:shd w:val="clear" w:color="000000" w:fill="FDE9D9"/>
                  <w:noWrap/>
                  <w:vAlign w:val="center"/>
                </w:tcPr>
                <w:p w:rsidR="00BF72C9" w:rsidRPr="002F003B" w:rsidRDefault="00BF72C9" w:rsidP="00EF3674">
                  <w:pPr>
                    <w:jc w:val="center"/>
                  </w:pPr>
                  <w:r w:rsidRPr="002F003B">
                    <w:t>5,70</w:t>
                  </w:r>
                </w:p>
              </w:tc>
              <w:tc>
                <w:tcPr>
                  <w:tcW w:w="1134" w:type="dxa"/>
                  <w:tcBorders>
                    <w:top w:val="single" w:sz="8" w:space="0" w:color="auto"/>
                    <w:left w:val="nil"/>
                    <w:bottom w:val="single" w:sz="4" w:space="0" w:color="auto"/>
                    <w:right w:val="single" w:sz="4" w:space="0" w:color="auto"/>
                  </w:tcBorders>
                  <w:shd w:val="clear" w:color="000000" w:fill="FDE9D9"/>
                  <w:noWrap/>
                  <w:vAlign w:val="center"/>
                </w:tcPr>
                <w:p w:rsidR="00BF72C9" w:rsidRPr="002F003B" w:rsidRDefault="00BF72C9" w:rsidP="00EF3674">
                  <w:pPr>
                    <w:jc w:val="center"/>
                  </w:pPr>
                  <w:r w:rsidRPr="002F003B">
                    <w:t>28,51</w:t>
                  </w:r>
                </w:p>
              </w:tc>
              <w:tc>
                <w:tcPr>
                  <w:tcW w:w="993" w:type="dxa"/>
                  <w:tcBorders>
                    <w:top w:val="single" w:sz="8" w:space="0" w:color="auto"/>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62,72</w:t>
                  </w:r>
                </w:p>
              </w:tc>
              <w:tc>
                <w:tcPr>
                  <w:tcW w:w="992" w:type="dxa"/>
                  <w:tcBorders>
                    <w:top w:val="single" w:sz="8" w:space="0" w:color="auto"/>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114,04</w:t>
                  </w:r>
                </w:p>
              </w:tc>
              <w:tc>
                <w:tcPr>
                  <w:tcW w:w="1134" w:type="dxa"/>
                  <w:tcBorders>
                    <w:top w:val="single" w:sz="8" w:space="0" w:color="auto"/>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195,52</w:t>
                  </w:r>
                </w:p>
              </w:tc>
              <w:tc>
                <w:tcPr>
                  <w:tcW w:w="1134" w:type="dxa"/>
                  <w:tcBorders>
                    <w:top w:val="single" w:sz="8" w:space="0" w:color="auto"/>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58,66</w:t>
                  </w:r>
                </w:p>
              </w:tc>
              <w:tc>
                <w:tcPr>
                  <w:tcW w:w="1134" w:type="dxa"/>
                  <w:tcBorders>
                    <w:top w:val="single" w:sz="8" w:space="0" w:color="auto"/>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1,50</w:t>
                  </w:r>
                </w:p>
              </w:tc>
              <w:tc>
                <w:tcPr>
                  <w:tcW w:w="1134" w:type="dxa"/>
                  <w:tcBorders>
                    <w:top w:val="single" w:sz="8" w:space="0" w:color="auto"/>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14,66</w:t>
                  </w:r>
                </w:p>
              </w:tc>
              <w:tc>
                <w:tcPr>
                  <w:tcW w:w="992" w:type="dxa"/>
                  <w:tcBorders>
                    <w:top w:val="single" w:sz="8" w:space="0" w:color="auto"/>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32,26</w:t>
                  </w:r>
                </w:p>
              </w:tc>
              <w:tc>
                <w:tcPr>
                  <w:tcW w:w="1134" w:type="dxa"/>
                  <w:tcBorders>
                    <w:top w:val="single" w:sz="8" w:space="0" w:color="auto"/>
                    <w:left w:val="nil"/>
                    <w:bottom w:val="single" w:sz="4" w:space="0" w:color="auto"/>
                    <w:right w:val="single" w:sz="8" w:space="0" w:color="auto"/>
                  </w:tcBorders>
                  <w:shd w:val="clear" w:color="000000" w:fill="FDE9D9"/>
                  <w:noWrap/>
                  <w:vAlign w:val="center"/>
                </w:tcPr>
                <w:p w:rsidR="00BF72C9" w:rsidRPr="002F003B" w:rsidRDefault="00BF72C9" w:rsidP="00EF3674">
                  <w:pPr>
                    <w:jc w:val="center"/>
                    <w:rPr>
                      <w:color w:val="000000"/>
                    </w:rPr>
                  </w:pPr>
                  <w:r w:rsidRPr="002F003B">
                    <w:rPr>
                      <w:color w:val="000000"/>
                    </w:rPr>
                    <w:t>58,66</w:t>
                  </w:r>
                </w:p>
              </w:tc>
            </w:tr>
            <w:tr w:rsidR="00BF72C9" w:rsidRPr="002F003B">
              <w:trPr>
                <w:trHeight w:val="315"/>
              </w:trPr>
              <w:tc>
                <w:tcPr>
                  <w:tcW w:w="1420" w:type="dxa"/>
                  <w:vMerge/>
                  <w:tcBorders>
                    <w:top w:val="single" w:sz="8" w:space="0" w:color="auto"/>
                    <w:left w:val="single" w:sz="4" w:space="0" w:color="auto"/>
                    <w:bottom w:val="single" w:sz="8" w:space="0" w:color="000000"/>
                    <w:right w:val="single" w:sz="4" w:space="0" w:color="auto"/>
                  </w:tcBorders>
                  <w:vAlign w:val="center"/>
                </w:tcPr>
                <w:p w:rsidR="00BF72C9" w:rsidRPr="002F003B" w:rsidRDefault="00BF72C9" w:rsidP="00EF3674">
                  <w:pPr>
                    <w:jc w:val="center"/>
                    <w:rPr>
                      <w:sz w:val="20"/>
                      <w:szCs w:val="20"/>
                    </w:rPr>
                  </w:pPr>
                </w:p>
              </w:tc>
              <w:tc>
                <w:tcPr>
                  <w:tcW w:w="2616" w:type="dxa"/>
                  <w:tcBorders>
                    <w:top w:val="nil"/>
                    <w:left w:val="nil"/>
                    <w:bottom w:val="single" w:sz="4" w:space="0" w:color="auto"/>
                    <w:right w:val="single" w:sz="4" w:space="0" w:color="auto"/>
                  </w:tcBorders>
                  <w:noWrap/>
                  <w:vAlign w:val="center"/>
                </w:tcPr>
                <w:p w:rsidR="00BF72C9" w:rsidRPr="00FE0A75" w:rsidRDefault="00BF72C9" w:rsidP="00EF3674">
                  <w:pPr>
                    <w:jc w:val="center"/>
                    <w:rPr>
                      <w:sz w:val="20"/>
                      <w:szCs w:val="20"/>
                      <w:lang w:val="en-US"/>
                    </w:rPr>
                  </w:pPr>
                  <w:r w:rsidRPr="00FE0A75">
                    <w:rPr>
                      <w:sz w:val="20"/>
                      <w:szCs w:val="20"/>
                      <w:lang w:val="en-US"/>
                    </w:rPr>
                    <w:t>PP-H HETMAN Sp. z o.o.</w:t>
                  </w:r>
                </w:p>
              </w:tc>
              <w:tc>
                <w:tcPr>
                  <w:tcW w:w="1276"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127,55</w:t>
                  </w:r>
                </w:p>
              </w:tc>
              <w:tc>
                <w:tcPr>
                  <w:tcW w:w="992"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2,50</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28,51</w:t>
                  </w:r>
                </w:p>
              </w:tc>
              <w:tc>
                <w:tcPr>
                  <w:tcW w:w="993"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62,72</w:t>
                  </w:r>
                </w:p>
              </w:tc>
              <w:tc>
                <w:tcPr>
                  <w:tcW w:w="992"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114,04</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195,52</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48,00</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1,00</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10,00</w:t>
                  </w:r>
                </w:p>
              </w:tc>
              <w:tc>
                <w:tcPr>
                  <w:tcW w:w="992"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28,00</w:t>
                  </w:r>
                </w:p>
              </w:tc>
              <w:tc>
                <w:tcPr>
                  <w:tcW w:w="1134" w:type="dxa"/>
                  <w:tcBorders>
                    <w:top w:val="nil"/>
                    <w:left w:val="nil"/>
                    <w:bottom w:val="single" w:sz="4" w:space="0" w:color="auto"/>
                    <w:right w:val="single" w:sz="8" w:space="0" w:color="auto"/>
                  </w:tcBorders>
                  <w:shd w:val="clear" w:color="000000" w:fill="FFFFFF"/>
                  <w:noWrap/>
                  <w:vAlign w:val="center"/>
                </w:tcPr>
                <w:p w:rsidR="00BF72C9" w:rsidRPr="002F003B" w:rsidRDefault="00BF72C9" w:rsidP="00EF3674">
                  <w:pPr>
                    <w:jc w:val="center"/>
                    <w:rPr>
                      <w:color w:val="000000"/>
                    </w:rPr>
                  </w:pPr>
                  <w:r w:rsidRPr="002F003B">
                    <w:rPr>
                      <w:color w:val="000000"/>
                    </w:rPr>
                    <w:t>55,00</w:t>
                  </w:r>
                </w:p>
              </w:tc>
            </w:tr>
            <w:tr w:rsidR="00BF72C9" w:rsidRPr="002F003B">
              <w:trPr>
                <w:trHeight w:val="315"/>
              </w:trPr>
              <w:tc>
                <w:tcPr>
                  <w:tcW w:w="1420" w:type="dxa"/>
                  <w:vMerge/>
                  <w:tcBorders>
                    <w:top w:val="single" w:sz="8" w:space="0" w:color="auto"/>
                    <w:left w:val="single" w:sz="4" w:space="0" w:color="auto"/>
                    <w:bottom w:val="single" w:sz="8" w:space="0" w:color="000000"/>
                    <w:right w:val="single" w:sz="4" w:space="0" w:color="auto"/>
                  </w:tcBorders>
                  <w:vAlign w:val="center"/>
                </w:tcPr>
                <w:p w:rsidR="00BF72C9" w:rsidRPr="002F003B" w:rsidRDefault="00BF72C9" w:rsidP="00EF3674">
                  <w:pPr>
                    <w:jc w:val="center"/>
                    <w:rPr>
                      <w:sz w:val="20"/>
                      <w:szCs w:val="20"/>
                    </w:rPr>
                  </w:pPr>
                </w:p>
              </w:tc>
              <w:tc>
                <w:tcPr>
                  <w:tcW w:w="2616"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sz w:val="20"/>
                      <w:szCs w:val="20"/>
                    </w:rPr>
                  </w:pPr>
                  <w:r w:rsidRPr="002F003B">
                    <w:rPr>
                      <w:color w:val="000000"/>
                      <w:sz w:val="20"/>
                      <w:szCs w:val="20"/>
                    </w:rPr>
                    <w:t>STRUGA SA</w:t>
                  </w:r>
                </w:p>
              </w:tc>
              <w:tc>
                <w:tcPr>
                  <w:tcW w:w="1276"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pPr>
                  <w:r w:rsidRPr="002F003B">
                    <w:t>127,55</w:t>
                  </w:r>
                </w:p>
              </w:tc>
              <w:tc>
                <w:tcPr>
                  <w:tcW w:w="992"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pPr>
                  <w:r w:rsidRPr="002F003B">
                    <w:t>5,70</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pPr>
                  <w:r w:rsidRPr="002F003B">
                    <w:t>28,51</w:t>
                  </w:r>
                </w:p>
              </w:tc>
              <w:tc>
                <w:tcPr>
                  <w:tcW w:w="993"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62,72</w:t>
                  </w:r>
                </w:p>
              </w:tc>
              <w:tc>
                <w:tcPr>
                  <w:tcW w:w="992"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114,04</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195,00</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50,00</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1,00</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12,00</w:t>
                  </w:r>
                </w:p>
              </w:tc>
              <w:tc>
                <w:tcPr>
                  <w:tcW w:w="992"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30,00</w:t>
                  </w:r>
                </w:p>
              </w:tc>
              <w:tc>
                <w:tcPr>
                  <w:tcW w:w="1134" w:type="dxa"/>
                  <w:tcBorders>
                    <w:top w:val="nil"/>
                    <w:left w:val="nil"/>
                    <w:bottom w:val="single" w:sz="4" w:space="0" w:color="auto"/>
                    <w:right w:val="single" w:sz="8" w:space="0" w:color="auto"/>
                  </w:tcBorders>
                  <w:shd w:val="clear" w:color="000000" w:fill="FDE9D9"/>
                  <w:noWrap/>
                  <w:vAlign w:val="center"/>
                </w:tcPr>
                <w:p w:rsidR="00BF72C9" w:rsidRPr="002F003B" w:rsidRDefault="00BF72C9" w:rsidP="00EF3674">
                  <w:pPr>
                    <w:jc w:val="center"/>
                    <w:rPr>
                      <w:color w:val="000000"/>
                    </w:rPr>
                  </w:pPr>
                  <w:r w:rsidRPr="002F003B">
                    <w:rPr>
                      <w:color w:val="000000"/>
                    </w:rPr>
                    <w:t>58,00</w:t>
                  </w:r>
                </w:p>
              </w:tc>
            </w:tr>
            <w:tr w:rsidR="00BF72C9" w:rsidRPr="002F003B">
              <w:trPr>
                <w:trHeight w:val="315"/>
              </w:trPr>
              <w:tc>
                <w:tcPr>
                  <w:tcW w:w="1420" w:type="dxa"/>
                  <w:vMerge/>
                  <w:tcBorders>
                    <w:top w:val="single" w:sz="8" w:space="0" w:color="auto"/>
                    <w:left w:val="single" w:sz="4" w:space="0" w:color="auto"/>
                    <w:bottom w:val="single" w:sz="8" w:space="0" w:color="000000"/>
                    <w:right w:val="single" w:sz="4" w:space="0" w:color="auto"/>
                  </w:tcBorders>
                  <w:vAlign w:val="center"/>
                </w:tcPr>
                <w:p w:rsidR="00BF72C9" w:rsidRPr="002F003B" w:rsidRDefault="00BF72C9" w:rsidP="00EF3674">
                  <w:pPr>
                    <w:jc w:val="center"/>
                    <w:rPr>
                      <w:sz w:val="20"/>
                      <w:szCs w:val="20"/>
                    </w:rPr>
                  </w:pPr>
                </w:p>
              </w:tc>
              <w:tc>
                <w:tcPr>
                  <w:tcW w:w="2616" w:type="dxa"/>
                  <w:tcBorders>
                    <w:top w:val="nil"/>
                    <w:left w:val="nil"/>
                    <w:bottom w:val="single" w:sz="4" w:space="0" w:color="auto"/>
                    <w:right w:val="single" w:sz="4" w:space="0" w:color="auto"/>
                  </w:tcBorders>
                  <w:noWrap/>
                  <w:vAlign w:val="center"/>
                </w:tcPr>
                <w:p w:rsidR="00BF72C9" w:rsidRPr="002F003B" w:rsidRDefault="00BF72C9" w:rsidP="00EF3674">
                  <w:pPr>
                    <w:jc w:val="center"/>
                    <w:rPr>
                      <w:sz w:val="20"/>
                      <w:szCs w:val="20"/>
                    </w:rPr>
                  </w:pPr>
                  <w:r w:rsidRPr="002F003B">
                    <w:rPr>
                      <w:sz w:val="20"/>
                      <w:szCs w:val="20"/>
                    </w:rPr>
                    <w:t>ZP-H B. RAKOWSKA</w:t>
                  </w:r>
                </w:p>
              </w:tc>
              <w:tc>
                <w:tcPr>
                  <w:tcW w:w="1276"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127,00</w:t>
                  </w:r>
                </w:p>
              </w:tc>
              <w:tc>
                <w:tcPr>
                  <w:tcW w:w="992"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1,00</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28,00</w:t>
                  </w:r>
                </w:p>
              </w:tc>
              <w:tc>
                <w:tcPr>
                  <w:tcW w:w="993"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62,00</w:t>
                  </w:r>
                </w:p>
              </w:tc>
              <w:tc>
                <w:tcPr>
                  <w:tcW w:w="992"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114,00</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193,00</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55,00</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1,00</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8,00</w:t>
                  </w:r>
                </w:p>
              </w:tc>
              <w:tc>
                <w:tcPr>
                  <w:tcW w:w="992"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25,00</w:t>
                  </w:r>
                </w:p>
              </w:tc>
              <w:tc>
                <w:tcPr>
                  <w:tcW w:w="1134" w:type="dxa"/>
                  <w:tcBorders>
                    <w:top w:val="nil"/>
                    <w:left w:val="nil"/>
                    <w:bottom w:val="single" w:sz="4" w:space="0" w:color="auto"/>
                    <w:right w:val="single" w:sz="8" w:space="0" w:color="auto"/>
                  </w:tcBorders>
                  <w:shd w:val="clear" w:color="000000" w:fill="FFFFFF"/>
                  <w:noWrap/>
                  <w:vAlign w:val="center"/>
                </w:tcPr>
                <w:p w:rsidR="00BF72C9" w:rsidRPr="002F003B" w:rsidRDefault="00BF72C9" w:rsidP="00EF3674">
                  <w:pPr>
                    <w:jc w:val="center"/>
                    <w:rPr>
                      <w:color w:val="000000"/>
                    </w:rPr>
                  </w:pPr>
                  <w:r w:rsidRPr="002F003B">
                    <w:rPr>
                      <w:color w:val="000000"/>
                    </w:rPr>
                    <w:t>55,00</w:t>
                  </w:r>
                </w:p>
              </w:tc>
            </w:tr>
            <w:tr w:rsidR="00BF72C9" w:rsidRPr="002F003B">
              <w:trPr>
                <w:trHeight w:val="315"/>
              </w:trPr>
              <w:tc>
                <w:tcPr>
                  <w:tcW w:w="1420" w:type="dxa"/>
                  <w:vMerge/>
                  <w:tcBorders>
                    <w:top w:val="single" w:sz="8" w:space="0" w:color="auto"/>
                    <w:left w:val="single" w:sz="4" w:space="0" w:color="auto"/>
                    <w:bottom w:val="single" w:sz="8" w:space="0" w:color="000000"/>
                    <w:right w:val="single" w:sz="4" w:space="0" w:color="auto"/>
                  </w:tcBorders>
                  <w:vAlign w:val="center"/>
                </w:tcPr>
                <w:p w:rsidR="00BF72C9" w:rsidRPr="002F003B" w:rsidRDefault="00BF72C9" w:rsidP="00EF3674">
                  <w:pPr>
                    <w:jc w:val="center"/>
                    <w:rPr>
                      <w:sz w:val="20"/>
                      <w:szCs w:val="20"/>
                    </w:rPr>
                  </w:pPr>
                </w:p>
              </w:tc>
              <w:tc>
                <w:tcPr>
                  <w:tcW w:w="2616"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sz w:val="20"/>
                      <w:szCs w:val="20"/>
                    </w:rPr>
                  </w:pPr>
                  <w:r w:rsidRPr="002F003B">
                    <w:rPr>
                      <w:color w:val="000000"/>
                      <w:sz w:val="20"/>
                      <w:szCs w:val="20"/>
                    </w:rPr>
                    <w:t>SARIA POLSKA Sp. z o.o.</w:t>
                  </w:r>
                </w:p>
              </w:tc>
              <w:tc>
                <w:tcPr>
                  <w:tcW w:w="1276"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pPr>
                  <w:r w:rsidRPr="002F003B">
                    <w:t>127,00</w:t>
                  </w:r>
                </w:p>
              </w:tc>
              <w:tc>
                <w:tcPr>
                  <w:tcW w:w="992"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pPr>
                  <w:r w:rsidRPr="002F003B">
                    <w:t>5,00</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pPr>
                  <w:r w:rsidRPr="002F003B">
                    <w:t>28,00</w:t>
                  </w:r>
                </w:p>
              </w:tc>
              <w:tc>
                <w:tcPr>
                  <w:tcW w:w="993"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62,00</w:t>
                  </w:r>
                </w:p>
              </w:tc>
              <w:tc>
                <w:tcPr>
                  <w:tcW w:w="992"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113,00</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194,00</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57,00</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2,00</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14,00</w:t>
                  </w:r>
                </w:p>
              </w:tc>
              <w:tc>
                <w:tcPr>
                  <w:tcW w:w="992"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30,00</w:t>
                  </w:r>
                </w:p>
              </w:tc>
              <w:tc>
                <w:tcPr>
                  <w:tcW w:w="1134" w:type="dxa"/>
                  <w:tcBorders>
                    <w:top w:val="nil"/>
                    <w:left w:val="nil"/>
                    <w:bottom w:val="single" w:sz="4" w:space="0" w:color="auto"/>
                    <w:right w:val="single" w:sz="8" w:space="0" w:color="auto"/>
                  </w:tcBorders>
                  <w:shd w:val="clear" w:color="000000" w:fill="FDE9D9"/>
                  <w:noWrap/>
                  <w:vAlign w:val="center"/>
                </w:tcPr>
                <w:p w:rsidR="00BF72C9" w:rsidRPr="002F003B" w:rsidRDefault="00BF72C9" w:rsidP="00EF3674">
                  <w:pPr>
                    <w:jc w:val="center"/>
                    <w:rPr>
                      <w:color w:val="000000"/>
                    </w:rPr>
                  </w:pPr>
                  <w:r w:rsidRPr="002F003B">
                    <w:rPr>
                      <w:color w:val="000000"/>
                    </w:rPr>
                    <w:t>57,00</w:t>
                  </w:r>
                </w:p>
              </w:tc>
            </w:tr>
            <w:tr w:rsidR="00BF72C9" w:rsidRPr="002F003B">
              <w:trPr>
                <w:trHeight w:val="315"/>
              </w:trPr>
              <w:tc>
                <w:tcPr>
                  <w:tcW w:w="1420" w:type="dxa"/>
                  <w:vMerge/>
                  <w:tcBorders>
                    <w:top w:val="single" w:sz="8" w:space="0" w:color="auto"/>
                    <w:left w:val="single" w:sz="4" w:space="0" w:color="auto"/>
                    <w:bottom w:val="single" w:sz="8" w:space="0" w:color="000000"/>
                    <w:right w:val="single" w:sz="4" w:space="0" w:color="auto"/>
                  </w:tcBorders>
                  <w:vAlign w:val="center"/>
                </w:tcPr>
                <w:p w:rsidR="00BF72C9" w:rsidRPr="002F003B" w:rsidRDefault="00BF72C9" w:rsidP="00EF3674">
                  <w:pPr>
                    <w:jc w:val="center"/>
                    <w:rPr>
                      <w:sz w:val="20"/>
                      <w:szCs w:val="20"/>
                    </w:rPr>
                  </w:pPr>
                </w:p>
              </w:tc>
              <w:tc>
                <w:tcPr>
                  <w:tcW w:w="2616" w:type="dxa"/>
                  <w:tcBorders>
                    <w:top w:val="nil"/>
                    <w:left w:val="nil"/>
                    <w:bottom w:val="single" w:sz="4" w:space="0" w:color="auto"/>
                    <w:right w:val="single" w:sz="4" w:space="0" w:color="auto"/>
                  </w:tcBorders>
                  <w:noWrap/>
                  <w:vAlign w:val="center"/>
                </w:tcPr>
                <w:p w:rsidR="00BF72C9" w:rsidRPr="002F003B" w:rsidRDefault="00BF72C9" w:rsidP="00EF3674">
                  <w:pPr>
                    <w:jc w:val="center"/>
                    <w:rPr>
                      <w:sz w:val="20"/>
                      <w:szCs w:val="20"/>
                    </w:rPr>
                  </w:pPr>
                  <w:r w:rsidRPr="002F003B">
                    <w:rPr>
                      <w:sz w:val="20"/>
                      <w:szCs w:val="20"/>
                    </w:rPr>
                    <w:t>PROMAROL-PLUS Sp. z o.o</w:t>
                  </w:r>
                </w:p>
              </w:tc>
              <w:tc>
                <w:tcPr>
                  <w:tcW w:w="1276"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120,00</w:t>
                  </w:r>
                </w:p>
              </w:tc>
              <w:tc>
                <w:tcPr>
                  <w:tcW w:w="992"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5,50</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25,00</w:t>
                  </w:r>
                </w:p>
              </w:tc>
              <w:tc>
                <w:tcPr>
                  <w:tcW w:w="993"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60,00</w:t>
                  </w:r>
                </w:p>
              </w:tc>
              <w:tc>
                <w:tcPr>
                  <w:tcW w:w="992"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110,00</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190,00</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55,00</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2,88</w:t>
                  </w:r>
                </w:p>
              </w:tc>
              <w:tc>
                <w:tcPr>
                  <w:tcW w:w="1134"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14,00</w:t>
                  </w:r>
                </w:p>
              </w:tc>
              <w:tc>
                <w:tcPr>
                  <w:tcW w:w="992" w:type="dxa"/>
                  <w:tcBorders>
                    <w:top w:val="nil"/>
                    <w:left w:val="nil"/>
                    <w:bottom w:val="single" w:sz="4"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30,00</w:t>
                  </w:r>
                </w:p>
              </w:tc>
              <w:tc>
                <w:tcPr>
                  <w:tcW w:w="1134" w:type="dxa"/>
                  <w:tcBorders>
                    <w:top w:val="nil"/>
                    <w:left w:val="nil"/>
                    <w:bottom w:val="single" w:sz="4" w:space="0" w:color="auto"/>
                    <w:right w:val="single" w:sz="8" w:space="0" w:color="auto"/>
                  </w:tcBorders>
                  <w:shd w:val="clear" w:color="000000" w:fill="FFFFFF"/>
                  <w:noWrap/>
                  <w:vAlign w:val="center"/>
                </w:tcPr>
                <w:p w:rsidR="00BF72C9" w:rsidRPr="002F003B" w:rsidRDefault="00BF72C9" w:rsidP="00EF3674">
                  <w:pPr>
                    <w:jc w:val="center"/>
                    <w:rPr>
                      <w:color w:val="000000"/>
                    </w:rPr>
                  </w:pPr>
                  <w:r w:rsidRPr="002F003B">
                    <w:rPr>
                      <w:color w:val="000000"/>
                    </w:rPr>
                    <w:t>55,00</w:t>
                  </w:r>
                </w:p>
              </w:tc>
            </w:tr>
            <w:tr w:rsidR="00BF72C9" w:rsidRPr="002F003B">
              <w:trPr>
                <w:trHeight w:val="315"/>
              </w:trPr>
              <w:tc>
                <w:tcPr>
                  <w:tcW w:w="1420" w:type="dxa"/>
                  <w:vMerge/>
                  <w:tcBorders>
                    <w:top w:val="single" w:sz="8" w:space="0" w:color="auto"/>
                    <w:left w:val="single" w:sz="4" w:space="0" w:color="auto"/>
                    <w:bottom w:val="single" w:sz="8" w:space="0" w:color="000000"/>
                    <w:right w:val="single" w:sz="4" w:space="0" w:color="auto"/>
                  </w:tcBorders>
                  <w:vAlign w:val="center"/>
                </w:tcPr>
                <w:p w:rsidR="00BF72C9" w:rsidRPr="002F003B" w:rsidRDefault="00BF72C9" w:rsidP="00EF3674">
                  <w:pPr>
                    <w:jc w:val="center"/>
                    <w:rPr>
                      <w:sz w:val="20"/>
                      <w:szCs w:val="20"/>
                    </w:rPr>
                  </w:pPr>
                </w:p>
              </w:tc>
              <w:tc>
                <w:tcPr>
                  <w:tcW w:w="2616"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sz w:val="20"/>
                      <w:szCs w:val="20"/>
                    </w:rPr>
                  </w:pPr>
                  <w:r w:rsidRPr="002F003B">
                    <w:rPr>
                      <w:color w:val="000000"/>
                      <w:sz w:val="20"/>
                      <w:szCs w:val="20"/>
                    </w:rPr>
                    <w:t>JASTA Sp. z o.o.</w:t>
                  </w:r>
                </w:p>
              </w:tc>
              <w:tc>
                <w:tcPr>
                  <w:tcW w:w="1276"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pPr>
                  <w:r w:rsidRPr="002F003B">
                    <w:t>110,00</w:t>
                  </w:r>
                </w:p>
              </w:tc>
              <w:tc>
                <w:tcPr>
                  <w:tcW w:w="992"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pPr>
                  <w:r w:rsidRPr="002F003B">
                    <w:t>5,64</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pPr>
                  <w:r w:rsidRPr="002F003B">
                    <w:t>28,40</w:t>
                  </w:r>
                </w:p>
              </w:tc>
              <w:tc>
                <w:tcPr>
                  <w:tcW w:w="993"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62,40</w:t>
                  </w:r>
                </w:p>
              </w:tc>
              <w:tc>
                <w:tcPr>
                  <w:tcW w:w="992"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114,00</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160,00</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40,00</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2,90</w:t>
                  </w:r>
                </w:p>
              </w:tc>
              <w:tc>
                <w:tcPr>
                  <w:tcW w:w="1134"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14,64</w:t>
                  </w:r>
                </w:p>
              </w:tc>
              <w:tc>
                <w:tcPr>
                  <w:tcW w:w="992" w:type="dxa"/>
                  <w:tcBorders>
                    <w:top w:val="nil"/>
                    <w:left w:val="nil"/>
                    <w:bottom w:val="single" w:sz="4" w:space="0" w:color="auto"/>
                    <w:right w:val="single" w:sz="4" w:space="0" w:color="auto"/>
                  </w:tcBorders>
                  <w:shd w:val="clear" w:color="000000" w:fill="FDE9D9"/>
                  <w:noWrap/>
                  <w:vAlign w:val="center"/>
                </w:tcPr>
                <w:p w:rsidR="00BF72C9" w:rsidRPr="002F003B" w:rsidRDefault="00BF72C9" w:rsidP="00EF3674">
                  <w:pPr>
                    <w:jc w:val="center"/>
                    <w:rPr>
                      <w:color w:val="000000"/>
                    </w:rPr>
                  </w:pPr>
                  <w:r w:rsidRPr="002F003B">
                    <w:rPr>
                      <w:color w:val="000000"/>
                    </w:rPr>
                    <w:t>32,24</w:t>
                  </w:r>
                </w:p>
              </w:tc>
              <w:tc>
                <w:tcPr>
                  <w:tcW w:w="1134" w:type="dxa"/>
                  <w:tcBorders>
                    <w:top w:val="nil"/>
                    <w:left w:val="nil"/>
                    <w:bottom w:val="single" w:sz="4" w:space="0" w:color="auto"/>
                    <w:right w:val="single" w:sz="8" w:space="0" w:color="auto"/>
                  </w:tcBorders>
                  <w:shd w:val="clear" w:color="000000" w:fill="FDE9D9"/>
                  <w:noWrap/>
                  <w:vAlign w:val="center"/>
                </w:tcPr>
                <w:p w:rsidR="00BF72C9" w:rsidRPr="002F003B" w:rsidRDefault="00BF72C9" w:rsidP="00EF3674">
                  <w:pPr>
                    <w:jc w:val="center"/>
                    <w:rPr>
                      <w:color w:val="000000"/>
                    </w:rPr>
                  </w:pPr>
                  <w:r w:rsidRPr="002F003B">
                    <w:rPr>
                      <w:color w:val="000000"/>
                    </w:rPr>
                    <w:t>58,64</w:t>
                  </w:r>
                </w:p>
              </w:tc>
            </w:tr>
            <w:tr w:rsidR="00BF72C9" w:rsidRPr="002F003B">
              <w:trPr>
                <w:trHeight w:val="330"/>
              </w:trPr>
              <w:tc>
                <w:tcPr>
                  <w:tcW w:w="1420" w:type="dxa"/>
                  <w:vMerge/>
                  <w:tcBorders>
                    <w:top w:val="single" w:sz="8" w:space="0" w:color="auto"/>
                    <w:left w:val="single" w:sz="4" w:space="0" w:color="auto"/>
                    <w:bottom w:val="single" w:sz="8" w:space="0" w:color="000000"/>
                    <w:right w:val="single" w:sz="4" w:space="0" w:color="auto"/>
                  </w:tcBorders>
                  <w:vAlign w:val="center"/>
                </w:tcPr>
                <w:p w:rsidR="00BF72C9" w:rsidRPr="002F003B" w:rsidRDefault="00BF72C9" w:rsidP="00EF3674">
                  <w:pPr>
                    <w:jc w:val="center"/>
                    <w:rPr>
                      <w:sz w:val="20"/>
                      <w:szCs w:val="20"/>
                    </w:rPr>
                  </w:pPr>
                </w:p>
              </w:tc>
              <w:tc>
                <w:tcPr>
                  <w:tcW w:w="2616" w:type="dxa"/>
                  <w:tcBorders>
                    <w:top w:val="nil"/>
                    <w:left w:val="nil"/>
                    <w:bottom w:val="single" w:sz="8" w:space="0" w:color="auto"/>
                    <w:right w:val="single" w:sz="4" w:space="0" w:color="auto"/>
                  </w:tcBorders>
                  <w:noWrap/>
                  <w:vAlign w:val="center"/>
                </w:tcPr>
                <w:p w:rsidR="00BF72C9" w:rsidRPr="002F003B" w:rsidRDefault="00BF72C9" w:rsidP="00EF3674">
                  <w:pPr>
                    <w:jc w:val="center"/>
                    <w:rPr>
                      <w:sz w:val="20"/>
                      <w:szCs w:val="20"/>
                    </w:rPr>
                  </w:pPr>
                  <w:r w:rsidRPr="002F003B">
                    <w:rPr>
                      <w:sz w:val="20"/>
                      <w:szCs w:val="20"/>
                    </w:rPr>
                    <w:t>ZR-P FARMUTIL HS SA</w:t>
                  </w:r>
                </w:p>
              </w:tc>
              <w:tc>
                <w:tcPr>
                  <w:tcW w:w="1276" w:type="dxa"/>
                  <w:tcBorders>
                    <w:top w:val="nil"/>
                    <w:left w:val="nil"/>
                    <w:bottom w:val="single" w:sz="8"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127,55</w:t>
                  </w:r>
                </w:p>
              </w:tc>
              <w:tc>
                <w:tcPr>
                  <w:tcW w:w="992" w:type="dxa"/>
                  <w:tcBorders>
                    <w:top w:val="nil"/>
                    <w:left w:val="nil"/>
                    <w:bottom w:val="single" w:sz="8"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5,70</w:t>
                  </w:r>
                </w:p>
              </w:tc>
              <w:tc>
                <w:tcPr>
                  <w:tcW w:w="1134" w:type="dxa"/>
                  <w:tcBorders>
                    <w:top w:val="nil"/>
                    <w:left w:val="nil"/>
                    <w:bottom w:val="single" w:sz="8"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28,51</w:t>
                  </w:r>
                </w:p>
              </w:tc>
              <w:tc>
                <w:tcPr>
                  <w:tcW w:w="993" w:type="dxa"/>
                  <w:tcBorders>
                    <w:top w:val="nil"/>
                    <w:left w:val="nil"/>
                    <w:bottom w:val="single" w:sz="8"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62,72</w:t>
                  </w:r>
                </w:p>
              </w:tc>
              <w:tc>
                <w:tcPr>
                  <w:tcW w:w="992" w:type="dxa"/>
                  <w:tcBorders>
                    <w:top w:val="nil"/>
                    <w:left w:val="nil"/>
                    <w:bottom w:val="single" w:sz="8"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114,04</w:t>
                  </w:r>
                </w:p>
              </w:tc>
              <w:tc>
                <w:tcPr>
                  <w:tcW w:w="1134" w:type="dxa"/>
                  <w:tcBorders>
                    <w:top w:val="nil"/>
                    <w:left w:val="nil"/>
                    <w:bottom w:val="single" w:sz="8"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195,52</w:t>
                  </w:r>
                </w:p>
              </w:tc>
              <w:tc>
                <w:tcPr>
                  <w:tcW w:w="1134" w:type="dxa"/>
                  <w:tcBorders>
                    <w:top w:val="nil"/>
                    <w:left w:val="nil"/>
                    <w:bottom w:val="single" w:sz="8"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58,66</w:t>
                  </w:r>
                </w:p>
              </w:tc>
              <w:tc>
                <w:tcPr>
                  <w:tcW w:w="1134" w:type="dxa"/>
                  <w:tcBorders>
                    <w:top w:val="nil"/>
                    <w:left w:val="nil"/>
                    <w:bottom w:val="single" w:sz="8"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2,93</w:t>
                  </w:r>
                </w:p>
              </w:tc>
              <w:tc>
                <w:tcPr>
                  <w:tcW w:w="1134" w:type="dxa"/>
                  <w:tcBorders>
                    <w:top w:val="nil"/>
                    <w:left w:val="nil"/>
                    <w:bottom w:val="single" w:sz="8"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14,66</w:t>
                  </w:r>
                </w:p>
              </w:tc>
              <w:tc>
                <w:tcPr>
                  <w:tcW w:w="992" w:type="dxa"/>
                  <w:tcBorders>
                    <w:top w:val="nil"/>
                    <w:left w:val="nil"/>
                    <w:bottom w:val="single" w:sz="8" w:space="0" w:color="auto"/>
                    <w:right w:val="single" w:sz="4" w:space="0" w:color="auto"/>
                  </w:tcBorders>
                  <w:shd w:val="clear" w:color="000000" w:fill="FFFFFF"/>
                  <w:noWrap/>
                  <w:vAlign w:val="center"/>
                </w:tcPr>
                <w:p w:rsidR="00BF72C9" w:rsidRPr="002F003B" w:rsidRDefault="00BF72C9" w:rsidP="00EF3674">
                  <w:pPr>
                    <w:jc w:val="center"/>
                    <w:rPr>
                      <w:color w:val="000000"/>
                    </w:rPr>
                  </w:pPr>
                  <w:r w:rsidRPr="002F003B">
                    <w:rPr>
                      <w:color w:val="000000"/>
                    </w:rPr>
                    <w:t>32,26</w:t>
                  </w:r>
                </w:p>
              </w:tc>
              <w:tc>
                <w:tcPr>
                  <w:tcW w:w="1134" w:type="dxa"/>
                  <w:tcBorders>
                    <w:top w:val="nil"/>
                    <w:left w:val="nil"/>
                    <w:bottom w:val="single" w:sz="8" w:space="0" w:color="auto"/>
                    <w:right w:val="single" w:sz="8" w:space="0" w:color="auto"/>
                  </w:tcBorders>
                  <w:shd w:val="clear" w:color="000000" w:fill="FFFFFF"/>
                  <w:noWrap/>
                  <w:vAlign w:val="center"/>
                </w:tcPr>
                <w:p w:rsidR="00BF72C9" w:rsidRPr="002F003B" w:rsidRDefault="00BF72C9" w:rsidP="00EF3674">
                  <w:pPr>
                    <w:jc w:val="center"/>
                    <w:rPr>
                      <w:color w:val="000000"/>
                    </w:rPr>
                  </w:pPr>
                  <w:r w:rsidRPr="002F003B">
                    <w:rPr>
                      <w:color w:val="000000"/>
                    </w:rPr>
                    <w:t>58,66</w:t>
                  </w:r>
                </w:p>
              </w:tc>
            </w:tr>
          </w:tbl>
          <w:p w:rsidR="00BF72C9" w:rsidRPr="00633354" w:rsidRDefault="00BF72C9" w:rsidP="00633354">
            <w:pPr>
              <w:jc w:val="center"/>
              <w:rPr>
                <w:rFonts w:ascii="Czcionka tekstu podstawowego" w:hAnsi="Czcionka tekstu podstawowego" w:cs="Czcionka tekstu podstawowego"/>
                <w:b/>
                <w:bCs/>
                <w:color w:val="000000"/>
                <w:sz w:val="20"/>
                <w:szCs w:val="20"/>
              </w:rPr>
            </w:pPr>
          </w:p>
        </w:tc>
      </w:tr>
    </w:tbl>
    <w:p w:rsidR="00BF72C9" w:rsidRPr="00DD0B37" w:rsidRDefault="00BF72C9" w:rsidP="00DD0B37">
      <w:pPr>
        <w:rPr>
          <w:sz w:val="19"/>
          <w:szCs w:val="19"/>
        </w:rPr>
      </w:pPr>
    </w:p>
    <w:p w:rsidR="00BF72C9" w:rsidRDefault="00BF72C9" w:rsidP="00633354">
      <w:pPr>
        <w:shd w:val="clear" w:color="auto" w:fill="FFFFFF"/>
        <w:spacing w:before="100" w:beforeAutospacing="1" w:after="100" w:afterAutospacing="1"/>
        <w:jc w:val="both"/>
        <w:rPr>
          <w:color w:val="717276"/>
          <w:sz w:val="19"/>
          <w:szCs w:val="19"/>
        </w:rPr>
      </w:pPr>
      <w:r w:rsidRPr="00132ED9">
        <w:rPr>
          <w:sz w:val="20"/>
          <w:szCs w:val="20"/>
        </w:rPr>
        <w:t>Informacja ze strony internetowej:</w:t>
      </w:r>
      <w:r>
        <w:t xml:space="preserve"> </w:t>
      </w:r>
      <w:hyperlink r:id="rId15" w:history="1">
        <w:r w:rsidRPr="00957E66">
          <w:rPr>
            <w:rStyle w:val="Hyperlink"/>
          </w:rPr>
          <w:t>www.arimr.gov.pl</w:t>
        </w:r>
      </w:hyperlink>
    </w:p>
    <w:p w:rsidR="00BF72C9" w:rsidRPr="00DD0B37" w:rsidRDefault="00BF72C9" w:rsidP="00633354">
      <w:pPr>
        <w:tabs>
          <w:tab w:val="left" w:pos="3045"/>
        </w:tabs>
        <w:rPr>
          <w:sz w:val="19"/>
          <w:szCs w:val="19"/>
        </w:rPr>
        <w:sectPr w:rsidR="00BF72C9" w:rsidRPr="00DD0B37" w:rsidSect="00DD0B37">
          <w:pgSz w:w="16838" w:h="11906" w:orient="landscape"/>
          <w:pgMar w:top="1417" w:right="993" w:bottom="1417" w:left="993" w:header="708" w:footer="708" w:gutter="0"/>
          <w:cols w:space="708"/>
          <w:titlePg/>
          <w:docGrid w:linePitch="360"/>
        </w:sectPr>
      </w:pPr>
    </w:p>
    <w:p w:rsidR="00BF72C9" w:rsidRPr="00633354" w:rsidRDefault="00BF72C9" w:rsidP="00FE0A75">
      <w:pPr>
        <w:tabs>
          <w:tab w:val="left" w:pos="2655"/>
        </w:tabs>
      </w:pPr>
    </w:p>
    <w:sectPr w:rsidR="00BF72C9" w:rsidRPr="00633354" w:rsidSect="00DD0B37">
      <w:pgSz w:w="11906" w:h="16838"/>
      <w:pgMar w:top="993" w:right="1417" w:bottom="993"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2C9" w:rsidRDefault="00BF72C9">
      <w:r>
        <w:separator/>
      </w:r>
    </w:p>
  </w:endnote>
  <w:endnote w:type="continuationSeparator" w:id="1">
    <w:p w:rsidR="00BF72C9" w:rsidRDefault="00BF72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2C9" w:rsidRDefault="00BF72C9" w:rsidP="007557E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BF72C9" w:rsidRDefault="00BF72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2C9" w:rsidRDefault="00BF72C9">
    <w:pPr>
      <w:pStyle w:val="Footer"/>
      <w:jc w:val="center"/>
    </w:pPr>
    <w:fldSimple w:instr=" PAGE   \* MERGEFORMAT ">
      <w:r>
        <w:rPr>
          <w:noProof/>
        </w:rPr>
        <w:t>11</w:t>
      </w:r>
    </w:fldSimple>
  </w:p>
  <w:p w:rsidR="00BF72C9" w:rsidRDefault="00BF7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2C9" w:rsidRDefault="00BF72C9">
      <w:r>
        <w:separator/>
      </w:r>
    </w:p>
  </w:footnote>
  <w:footnote w:type="continuationSeparator" w:id="1">
    <w:p w:rsidR="00BF72C9" w:rsidRDefault="00BF7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015"/>
    <w:multiLevelType w:val="multilevel"/>
    <w:tmpl w:val="C534E2EC"/>
    <w:lvl w:ilvl="0">
      <w:start w:val="1"/>
      <w:numFmt w:val="bullet"/>
      <w:lvlText w:val=""/>
      <w:lvlJc w:val="left"/>
      <w:pPr>
        <w:tabs>
          <w:tab w:val="num" w:pos="720"/>
        </w:tabs>
        <w:ind w:left="720" w:hanging="360"/>
      </w:pPr>
      <w:rPr>
        <w:rFonts w:ascii="Wingdings" w:hAnsi="Wingdings"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FF6023"/>
    <w:multiLevelType w:val="hybridMultilevel"/>
    <w:tmpl w:val="A77A7222"/>
    <w:lvl w:ilvl="0" w:tplc="1B060074">
      <w:start w:val="1"/>
      <w:numFmt w:val="decimal"/>
      <w:lvlText w:val="%1."/>
      <w:lvlJc w:val="left"/>
      <w:pPr>
        <w:tabs>
          <w:tab w:val="num" w:pos="1080"/>
        </w:tabs>
        <w:ind w:left="1080" w:hanging="1080"/>
      </w:pPr>
      <w:rPr>
        <w:rFonts w:hint="default"/>
        <w:i w:val="0"/>
        <w:iCs w:val="0"/>
        <w:color w:val="auto"/>
        <w:sz w:val="24"/>
        <w:szCs w:val="24"/>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
    <w:nsid w:val="0B16066B"/>
    <w:multiLevelType w:val="hybridMultilevel"/>
    <w:tmpl w:val="BC8850FE"/>
    <w:lvl w:ilvl="0" w:tplc="0415000D">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
    <w:nsid w:val="12A0318A"/>
    <w:multiLevelType w:val="multilevel"/>
    <w:tmpl w:val="76CABC0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1A7334"/>
    <w:multiLevelType w:val="hybridMultilevel"/>
    <w:tmpl w:val="DDB4E8D6"/>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5">
    <w:nsid w:val="181D437D"/>
    <w:multiLevelType w:val="hybridMultilevel"/>
    <w:tmpl w:val="8362D9B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
    <w:nsid w:val="193244AA"/>
    <w:multiLevelType w:val="multilevel"/>
    <w:tmpl w:val="EC0C50D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725BDF"/>
    <w:multiLevelType w:val="hybridMultilevel"/>
    <w:tmpl w:val="879CDA58"/>
    <w:lvl w:ilvl="0" w:tplc="0415000D">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8">
    <w:nsid w:val="253C2119"/>
    <w:multiLevelType w:val="hybridMultilevel"/>
    <w:tmpl w:val="E36C2C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2A0F3EC3"/>
    <w:multiLevelType w:val="hybridMultilevel"/>
    <w:tmpl w:val="DFECF9CA"/>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0">
    <w:nsid w:val="3AB31470"/>
    <w:multiLevelType w:val="hybridMultilevel"/>
    <w:tmpl w:val="9072E8CA"/>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1">
    <w:nsid w:val="3E353373"/>
    <w:multiLevelType w:val="hybridMultilevel"/>
    <w:tmpl w:val="87309F96"/>
    <w:lvl w:ilvl="0" w:tplc="0415000D">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2">
    <w:nsid w:val="418C64AF"/>
    <w:multiLevelType w:val="hybridMultilevel"/>
    <w:tmpl w:val="FDB835C2"/>
    <w:lvl w:ilvl="0" w:tplc="0415000D">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3">
    <w:nsid w:val="42F03AB1"/>
    <w:multiLevelType w:val="hybridMultilevel"/>
    <w:tmpl w:val="A7502124"/>
    <w:lvl w:ilvl="0" w:tplc="0415000B">
      <w:start w:val="1"/>
      <w:numFmt w:val="bullet"/>
      <w:lvlText w:val=""/>
      <w:lvlJc w:val="left"/>
      <w:pPr>
        <w:ind w:left="496" w:hanging="360"/>
      </w:pPr>
      <w:rPr>
        <w:rFonts w:ascii="Wingdings" w:hAnsi="Wingdings" w:cs="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448858BB"/>
    <w:multiLevelType w:val="hybridMultilevel"/>
    <w:tmpl w:val="15DAAF9E"/>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5">
    <w:nsid w:val="4812250A"/>
    <w:multiLevelType w:val="hybridMultilevel"/>
    <w:tmpl w:val="875A033C"/>
    <w:lvl w:ilvl="0" w:tplc="0415000F">
      <w:start w:val="1"/>
      <w:numFmt w:val="decimal"/>
      <w:lvlText w:val="%1."/>
      <w:lvlJc w:val="left"/>
      <w:pPr>
        <w:tabs>
          <w:tab w:val="num" w:pos="780"/>
        </w:tabs>
        <w:ind w:left="780" w:hanging="360"/>
      </w:pPr>
    </w:lvl>
    <w:lvl w:ilvl="1" w:tplc="04150001">
      <w:start w:val="1"/>
      <w:numFmt w:val="bullet"/>
      <w:lvlText w:val=""/>
      <w:lvlJc w:val="left"/>
      <w:pPr>
        <w:tabs>
          <w:tab w:val="num" w:pos="1500"/>
        </w:tabs>
        <w:ind w:left="1500" w:hanging="360"/>
      </w:pPr>
      <w:rPr>
        <w:rFonts w:ascii="Symbol" w:hAnsi="Symbol" w:cs="Symbol" w:hint="default"/>
      </w:r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16">
    <w:nsid w:val="4A376B6E"/>
    <w:multiLevelType w:val="multilevel"/>
    <w:tmpl w:val="6AAE2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D782DFE"/>
    <w:multiLevelType w:val="hybridMultilevel"/>
    <w:tmpl w:val="3CC22E18"/>
    <w:lvl w:ilvl="0" w:tplc="0415000D">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8">
    <w:nsid w:val="4E7E0FBA"/>
    <w:multiLevelType w:val="hybridMultilevel"/>
    <w:tmpl w:val="101EA60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2305143"/>
    <w:multiLevelType w:val="multilevel"/>
    <w:tmpl w:val="59129C7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4A22579"/>
    <w:multiLevelType w:val="hybridMultilevel"/>
    <w:tmpl w:val="8C4A88F4"/>
    <w:lvl w:ilvl="0" w:tplc="0415000D">
      <w:start w:val="1"/>
      <w:numFmt w:val="bullet"/>
      <w:lvlText w:val=""/>
      <w:lvlJc w:val="left"/>
      <w:pPr>
        <w:tabs>
          <w:tab w:val="num" w:pos="780"/>
        </w:tabs>
        <w:ind w:left="780" w:hanging="360"/>
      </w:pPr>
      <w:rPr>
        <w:rFonts w:ascii="Wingdings" w:hAnsi="Wingdings" w:cs="Wingdings"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start w:val="1"/>
      <w:numFmt w:val="bullet"/>
      <w:lvlText w:val=""/>
      <w:lvlJc w:val="left"/>
      <w:pPr>
        <w:tabs>
          <w:tab w:val="num" w:pos="2220"/>
        </w:tabs>
        <w:ind w:left="2220" w:hanging="360"/>
      </w:pPr>
      <w:rPr>
        <w:rFonts w:ascii="Wingdings" w:hAnsi="Wingdings" w:cs="Wingdings" w:hint="default"/>
      </w:rPr>
    </w:lvl>
    <w:lvl w:ilvl="3" w:tplc="04150001">
      <w:start w:val="1"/>
      <w:numFmt w:val="bullet"/>
      <w:lvlText w:val=""/>
      <w:lvlJc w:val="left"/>
      <w:pPr>
        <w:tabs>
          <w:tab w:val="num" w:pos="2940"/>
        </w:tabs>
        <w:ind w:left="2940" w:hanging="360"/>
      </w:pPr>
      <w:rPr>
        <w:rFonts w:ascii="Symbol" w:hAnsi="Symbol" w:cs="Symbol" w:hint="default"/>
      </w:rPr>
    </w:lvl>
    <w:lvl w:ilvl="4" w:tplc="04150003">
      <w:start w:val="1"/>
      <w:numFmt w:val="bullet"/>
      <w:lvlText w:val="o"/>
      <w:lvlJc w:val="left"/>
      <w:pPr>
        <w:tabs>
          <w:tab w:val="num" w:pos="3660"/>
        </w:tabs>
        <w:ind w:left="3660" w:hanging="360"/>
      </w:pPr>
      <w:rPr>
        <w:rFonts w:ascii="Courier New" w:hAnsi="Courier New" w:cs="Courier New" w:hint="default"/>
      </w:rPr>
    </w:lvl>
    <w:lvl w:ilvl="5" w:tplc="04150005">
      <w:start w:val="1"/>
      <w:numFmt w:val="bullet"/>
      <w:lvlText w:val=""/>
      <w:lvlJc w:val="left"/>
      <w:pPr>
        <w:tabs>
          <w:tab w:val="num" w:pos="4380"/>
        </w:tabs>
        <w:ind w:left="4380" w:hanging="360"/>
      </w:pPr>
      <w:rPr>
        <w:rFonts w:ascii="Wingdings" w:hAnsi="Wingdings" w:cs="Wingdings" w:hint="default"/>
      </w:rPr>
    </w:lvl>
    <w:lvl w:ilvl="6" w:tplc="04150001">
      <w:start w:val="1"/>
      <w:numFmt w:val="bullet"/>
      <w:lvlText w:val=""/>
      <w:lvlJc w:val="left"/>
      <w:pPr>
        <w:tabs>
          <w:tab w:val="num" w:pos="5100"/>
        </w:tabs>
        <w:ind w:left="5100" w:hanging="360"/>
      </w:pPr>
      <w:rPr>
        <w:rFonts w:ascii="Symbol" w:hAnsi="Symbol" w:cs="Symbol" w:hint="default"/>
      </w:rPr>
    </w:lvl>
    <w:lvl w:ilvl="7" w:tplc="04150003">
      <w:start w:val="1"/>
      <w:numFmt w:val="bullet"/>
      <w:lvlText w:val="o"/>
      <w:lvlJc w:val="left"/>
      <w:pPr>
        <w:tabs>
          <w:tab w:val="num" w:pos="5820"/>
        </w:tabs>
        <w:ind w:left="5820" w:hanging="360"/>
      </w:pPr>
      <w:rPr>
        <w:rFonts w:ascii="Courier New" w:hAnsi="Courier New" w:cs="Courier New" w:hint="default"/>
      </w:rPr>
    </w:lvl>
    <w:lvl w:ilvl="8" w:tplc="04150005">
      <w:start w:val="1"/>
      <w:numFmt w:val="bullet"/>
      <w:lvlText w:val=""/>
      <w:lvlJc w:val="left"/>
      <w:pPr>
        <w:tabs>
          <w:tab w:val="num" w:pos="6540"/>
        </w:tabs>
        <w:ind w:left="6540" w:hanging="360"/>
      </w:pPr>
      <w:rPr>
        <w:rFonts w:ascii="Wingdings" w:hAnsi="Wingdings" w:cs="Wingdings" w:hint="default"/>
      </w:rPr>
    </w:lvl>
  </w:abstractNum>
  <w:abstractNum w:abstractNumId="21">
    <w:nsid w:val="55AC74A7"/>
    <w:multiLevelType w:val="hybridMultilevel"/>
    <w:tmpl w:val="C0586782"/>
    <w:lvl w:ilvl="0" w:tplc="0415000D">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2">
    <w:nsid w:val="57CE2F59"/>
    <w:multiLevelType w:val="multilevel"/>
    <w:tmpl w:val="4A2CEC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CCD6AB6"/>
    <w:multiLevelType w:val="hybridMultilevel"/>
    <w:tmpl w:val="0CA6A654"/>
    <w:lvl w:ilvl="0" w:tplc="04150001">
      <w:start w:val="1"/>
      <w:numFmt w:val="bullet"/>
      <w:lvlText w:val=""/>
      <w:lvlJc w:val="left"/>
      <w:pPr>
        <w:tabs>
          <w:tab w:val="num" w:pos="360"/>
        </w:tabs>
        <w:ind w:left="360" w:hanging="360"/>
      </w:pPr>
      <w:rPr>
        <w:rFonts w:ascii="Symbol" w:hAnsi="Symbol" w:cs="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4">
    <w:nsid w:val="60A725B4"/>
    <w:multiLevelType w:val="hybridMultilevel"/>
    <w:tmpl w:val="24FA068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25">
    <w:nsid w:val="612639EE"/>
    <w:multiLevelType w:val="hybridMultilevel"/>
    <w:tmpl w:val="E2E04212"/>
    <w:lvl w:ilvl="0" w:tplc="0415000D">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6">
    <w:nsid w:val="63575158"/>
    <w:multiLevelType w:val="multilevel"/>
    <w:tmpl w:val="BDAC1B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nsid w:val="6D800BBA"/>
    <w:multiLevelType w:val="hybridMultilevel"/>
    <w:tmpl w:val="59D80DBC"/>
    <w:lvl w:ilvl="0" w:tplc="0415000D">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8">
    <w:nsid w:val="70885B75"/>
    <w:multiLevelType w:val="hybridMultilevel"/>
    <w:tmpl w:val="B3242338"/>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9">
    <w:nsid w:val="733C06CA"/>
    <w:multiLevelType w:val="hybridMultilevel"/>
    <w:tmpl w:val="404CF600"/>
    <w:lvl w:ilvl="0" w:tplc="04150001">
      <w:start w:val="1"/>
      <w:numFmt w:val="bullet"/>
      <w:lvlText w:val=""/>
      <w:lvlJc w:val="left"/>
      <w:pPr>
        <w:tabs>
          <w:tab w:val="num" w:pos="1140"/>
        </w:tabs>
        <w:ind w:left="1140" w:hanging="360"/>
      </w:pPr>
      <w:rPr>
        <w:rFonts w:ascii="Symbol" w:hAnsi="Symbol" w:cs="Symbol" w:hint="default"/>
      </w:rPr>
    </w:lvl>
    <w:lvl w:ilvl="1" w:tplc="04150003">
      <w:start w:val="1"/>
      <w:numFmt w:val="bullet"/>
      <w:lvlText w:val="o"/>
      <w:lvlJc w:val="left"/>
      <w:pPr>
        <w:tabs>
          <w:tab w:val="num" w:pos="1860"/>
        </w:tabs>
        <w:ind w:left="1860" w:hanging="360"/>
      </w:pPr>
      <w:rPr>
        <w:rFonts w:ascii="Courier New" w:hAnsi="Courier New" w:cs="Courier New" w:hint="default"/>
      </w:rPr>
    </w:lvl>
    <w:lvl w:ilvl="2" w:tplc="04150005">
      <w:start w:val="1"/>
      <w:numFmt w:val="bullet"/>
      <w:lvlText w:val=""/>
      <w:lvlJc w:val="left"/>
      <w:pPr>
        <w:tabs>
          <w:tab w:val="num" w:pos="2580"/>
        </w:tabs>
        <w:ind w:left="2580" w:hanging="360"/>
      </w:pPr>
      <w:rPr>
        <w:rFonts w:ascii="Wingdings" w:hAnsi="Wingdings" w:cs="Wingdings" w:hint="default"/>
      </w:rPr>
    </w:lvl>
    <w:lvl w:ilvl="3" w:tplc="04150001">
      <w:start w:val="1"/>
      <w:numFmt w:val="bullet"/>
      <w:lvlText w:val=""/>
      <w:lvlJc w:val="left"/>
      <w:pPr>
        <w:tabs>
          <w:tab w:val="num" w:pos="3300"/>
        </w:tabs>
        <w:ind w:left="3300" w:hanging="360"/>
      </w:pPr>
      <w:rPr>
        <w:rFonts w:ascii="Symbol" w:hAnsi="Symbol" w:cs="Symbol" w:hint="default"/>
      </w:rPr>
    </w:lvl>
    <w:lvl w:ilvl="4" w:tplc="04150003">
      <w:start w:val="1"/>
      <w:numFmt w:val="bullet"/>
      <w:lvlText w:val="o"/>
      <w:lvlJc w:val="left"/>
      <w:pPr>
        <w:tabs>
          <w:tab w:val="num" w:pos="4020"/>
        </w:tabs>
        <w:ind w:left="4020" w:hanging="360"/>
      </w:pPr>
      <w:rPr>
        <w:rFonts w:ascii="Courier New" w:hAnsi="Courier New" w:cs="Courier New" w:hint="default"/>
      </w:rPr>
    </w:lvl>
    <w:lvl w:ilvl="5" w:tplc="04150005">
      <w:start w:val="1"/>
      <w:numFmt w:val="bullet"/>
      <w:lvlText w:val=""/>
      <w:lvlJc w:val="left"/>
      <w:pPr>
        <w:tabs>
          <w:tab w:val="num" w:pos="4740"/>
        </w:tabs>
        <w:ind w:left="4740" w:hanging="360"/>
      </w:pPr>
      <w:rPr>
        <w:rFonts w:ascii="Wingdings" w:hAnsi="Wingdings" w:cs="Wingdings" w:hint="default"/>
      </w:rPr>
    </w:lvl>
    <w:lvl w:ilvl="6" w:tplc="04150001">
      <w:start w:val="1"/>
      <w:numFmt w:val="bullet"/>
      <w:lvlText w:val=""/>
      <w:lvlJc w:val="left"/>
      <w:pPr>
        <w:tabs>
          <w:tab w:val="num" w:pos="5460"/>
        </w:tabs>
        <w:ind w:left="5460" w:hanging="360"/>
      </w:pPr>
      <w:rPr>
        <w:rFonts w:ascii="Symbol" w:hAnsi="Symbol" w:cs="Symbol" w:hint="default"/>
      </w:rPr>
    </w:lvl>
    <w:lvl w:ilvl="7" w:tplc="04150003">
      <w:start w:val="1"/>
      <w:numFmt w:val="bullet"/>
      <w:lvlText w:val="o"/>
      <w:lvlJc w:val="left"/>
      <w:pPr>
        <w:tabs>
          <w:tab w:val="num" w:pos="6180"/>
        </w:tabs>
        <w:ind w:left="6180" w:hanging="360"/>
      </w:pPr>
      <w:rPr>
        <w:rFonts w:ascii="Courier New" w:hAnsi="Courier New" w:cs="Courier New" w:hint="default"/>
      </w:rPr>
    </w:lvl>
    <w:lvl w:ilvl="8" w:tplc="04150005">
      <w:start w:val="1"/>
      <w:numFmt w:val="bullet"/>
      <w:lvlText w:val=""/>
      <w:lvlJc w:val="left"/>
      <w:pPr>
        <w:tabs>
          <w:tab w:val="num" w:pos="6900"/>
        </w:tabs>
        <w:ind w:left="6900" w:hanging="360"/>
      </w:pPr>
      <w:rPr>
        <w:rFonts w:ascii="Wingdings" w:hAnsi="Wingdings" w:cs="Wingdings" w:hint="default"/>
      </w:rPr>
    </w:lvl>
  </w:abstractNum>
  <w:abstractNum w:abstractNumId="30">
    <w:nsid w:val="75B9133E"/>
    <w:multiLevelType w:val="hybridMultilevel"/>
    <w:tmpl w:val="8D78A3C8"/>
    <w:lvl w:ilvl="0" w:tplc="0415000F">
      <w:start w:val="4"/>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793A73F7"/>
    <w:multiLevelType w:val="hybridMultilevel"/>
    <w:tmpl w:val="329C19AE"/>
    <w:lvl w:ilvl="0" w:tplc="0415000B">
      <w:start w:val="1"/>
      <w:numFmt w:val="bullet"/>
      <w:lvlText w:val=""/>
      <w:lvlJc w:val="left"/>
      <w:pPr>
        <w:ind w:left="1080" w:hanging="360"/>
      </w:pPr>
      <w:rPr>
        <w:rFonts w:ascii="Wingdings" w:hAnsi="Wingdings" w:cs="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32">
    <w:nsid w:val="7B3D396B"/>
    <w:multiLevelType w:val="hybridMultilevel"/>
    <w:tmpl w:val="6EF2C060"/>
    <w:lvl w:ilvl="0" w:tplc="0415000D">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12"/>
  </w:num>
  <w:num w:numId="3">
    <w:abstractNumId w:val="20"/>
  </w:num>
  <w:num w:numId="4">
    <w:abstractNumId w:val="11"/>
  </w:num>
  <w:num w:numId="5">
    <w:abstractNumId w:val="25"/>
  </w:num>
  <w:num w:numId="6">
    <w:abstractNumId w:val="32"/>
  </w:num>
  <w:num w:numId="7">
    <w:abstractNumId w:val="17"/>
  </w:num>
  <w:num w:numId="8">
    <w:abstractNumId w:val="27"/>
  </w:num>
  <w:num w:numId="9">
    <w:abstractNumId w:val="7"/>
  </w:num>
  <w:num w:numId="10">
    <w:abstractNumId w:val="2"/>
  </w:num>
  <w:num w:numId="11">
    <w:abstractNumId w:val="21"/>
  </w:num>
  <w:num w:numId="12">
    <w:abstractNumId w:val="18"/>
  </w:num>
  <w:num w:numId="13">
    <w:abstractNumId w:val="30"/>
  </w:num>
  <w:num w:numId="14">
    <w:abstractNumId w:val="15"/>
  </w:num>
  <w:num w:numId="15">
    <w:abstractNumId w:val="5"/>
  </w:num>
  <w:num w:numId="16">
    <w:abstractNumId w:val="8"/>
  </w:num>
  <w:num w:numId="17">
    <w:abstractNumId w:val="29"/>
  </w:num>
  <w:num w:numId="18">
    <w:abstractNumId w:val="22"/>
  </w:num>
  <w:num w:numId="19">
    <w:abstractNumId w:val="16"/>
  </w:num>
  <w:num w:numId="20">
    <w:abstractNumId w:val="26"/>
  </w:num>
  <w:num w:numId="21">
    <w:abstractNumId w:val="14"/>
  </w:num>
  <w:num w:numId="22">
    <w:abstractNumId w:val="31"/>
  </w:num>
  <w:num w:numId="23">
    <w:abstractNumId w:val="28"/>
  </w:num>
  <w:num w:numId="24">
    <w:abstractNumId w:val="4"/>
  </w:num>
  <w:num w:numId="25">
    <w:abstractNumId w:val="24"/>
  </w:num>
  <w:num w:numId="26">
    <w:abstractNumId w:val="9"/>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3"/>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37"/>
    <w:rsid w:val="000005CA"/>
    <w:rsid w:val="0000319F"/>
    <w:rsid w:val="00005926"/>
    <w:rsid w:val="00013781"/>
    <w:rsid w:val="00017AE1"/>
    <w:rsid w:val="000207D4"/>
    <w:rsid w:val="00022223"/>
    <w:rsid w:val="000255DC"/>
    <w:rsid w:val="000259F6"/>
    <w:rsid w:val="000278A1"/>
    <w:rsid w:val="000314D5"/>
    <w:rsid w:val="0004497C"/>
    <w:rsid w:val="000511EC"/>
    <w:rsid w:val="00053B66"/>
    <w:rsid w:val="00056090"/>
    <w:rsid w:val="00060CAB"/>
    <w:rsid w:val="00061801"/>
    <w:rsid w:val="00071C66"/>
    <w:rsid w:val="00075A40"/>
    <w:rsid w:val="00080348"/>
    <w:rsid w:val="00080915"/>
    <w:rsid w:val="00080B8F"/>
    <w:rsid w:val="00084C16"/>
    <w:rsid w:val="000A5660"/>
    <w:rsid w:val="000A7EC1"/>
    <w:rsid w:val="000C1094"/>
    <w:rsid w:val="000C6D43"/>
    <w:rsid w:val="000C7523"/>
    <w:rsid w:val="000D1880"/>
    <w:rsid w:val="000E1DBC"/>
    <w:rsid w:val="000E3380"/>
    <w:rsid w:val="000E6840"/>
    <w:rsid w:val="000F6C5C"/>
    <w:rsid w:val="00104A1C"/>
    <w:rsid w:val="00105938"/>
    <w:rsid w:val="00107C43"/>
    <w:rsid w:val="0011353E"/>
    <w:rsid w:val="00131899"/>
    <w:rsid w:val="00132C35"/>
    <w:rsid w:val="00132ED9"/>
    <w:rsid w:val="00134E56"/>
    <w:rsid w:val="00146F6E"/>
    <w:rsid w:val="00147E3B"/>
    <w:rsid w:val="00152EA8"/>
    <w:rsid w:val="001569D4"/>
    <w:rsid w:val="0016601B"/>
    <w:rsid w:val="00176B21"/>
    <w:rsid w:val="00186E98"/>
    <w:rsid w:val="001974B7"/>
    <w:rsid w:val="001A74F0"/>
    <w:rsid w:val="001C28BE"/>
    <w:rsid w:val="001C2BC5"/>
    <w:rsid w:val="001D2AE4"/>
    <w:rsid w:val="001D7BFA"/>
    <w:rsid w:val="001E0BA7"/>
    <w:rsid w:val="001E0D2E"/>
    <w:rsid w:val="001E1A8D"/>
    <w:rsid w:val="001E48E7"/>
    <w:rsid w:val="001E4E3E"/>
    <w:rsid w:val="001E5481"/>
    <w:rsid w:val="001F6DC0"/>
    <w:rsid w:val="00203C76"/>
    <w:rsid w:val="00221426"/>
    <w:rsid w:val="00224937"/>
    <w:rsid w:val="00233BA2"/>
    <w:rsid w:val="00235670"/>
    <w:rsid w:val="0024088C"/>
    <w:rsid w:val="002441F2"/>
    <w:rsid w:val="00244514"/>
    <w:rsid w:val="00245976"/>
    <w:rsid w:val="002465D5"/>
    <w:rsid w:val="002571B8"/>
    <w:rsid w:val="002578C0"/>
    <w:rsid w:val="00257C75"/>
    <w:rsid w:val="00257FB1"/>
    <w:rsid w:val="00263674"/>
    <w:rsid w:val="0026488B"/>
    <w:rsid w:val="00267D7F"/>
    <w:rsid w:val="00270779"/>
    <w:rsid w:val="00276E98"/>
    <w:rsid w:val="00277D63"/>
    <w:rsid w:val="00282697"/>
    <w:rsid w:val="002836B7"/>
    <w:rsid w:val="002A208C"/>
    <w:rsid w:val="002A3CA0"/>
    <w:rsid w:val="002A5430"/>
    <w:rsid w:val="002B2899"/>
    <w:rsid w:val="002C11F0"/>
    <w:rsid w:val="002D346F"/>
    <w:rsid w:val="002D4092"/>
    <w:rsid w:val="002E0A89"/>
    <w:rsid w:val="002F003B"/>
    <w:rsid w:val="002F1A2C"/>
    <w:rsid w:val="002F5D14"/>
    <w:rsid w:val="003001AF"/>
    <w:rsid w:val="00302007"/>
    <w:rsid w:val="003106E7"/>
    <w:rsid w:val="00313944"/>
    <w:rsid w:val="00324263"/>
    <w:rsid w:val="003249F9"/>
    <w:rsid w:val="00326366"/>
    <w:rsid w:val="00331459"/>
    <w:rsid w:val="003314EF"/>
    <w:rsid w:val="00334D20"/>
    <w:rsid w:val="00335FD9"/>
    <w:rsid w:val="003403E3"/>
    <w:rsid w:val="00341E3A"/>
    <w:rsid w:val="0034298A"/>
    <w:rsid w:val="003447B9"/>
    <w:rsid w:val="003572CC"/>
    <w:rsid w:val="00357BE3"/>
    <w:rsid w:val="00384F7F"/>
    <w:rsid w:val="003938C5"/>
    <w:rsid w:val="003960B9"/>
    <w:rsid w:val="003A2680"/>
    <w:rsid w:val="003A3253"/>
    <w:rsid w:val="003A6BCF"/>
    <w:rsid w:val="003A7995"/>
    <w:rsid w:val="003B3C90"/>
    <w:rsid w:val="003C0549"/>
    <w:rsid w:val="003C2557"/>
    <w:rsid w:val="003C4F41"/>
    <w:rsid w:val="003C748B"/>
    <w:rsid w:val="003D2231"/>
    <w:rsid w:val="003D2735"/>
    <w:rsid w:val="003D3DAD"/>
    <w:rsid w:val="003E13D2"/>
    <w:rsid w:val="003F1E34"/>
    <w:rsid w:val="003F53FE"/>
    <w:rsid w:val="003F60D5"/>
    <w:rsid w:val="003F6628"/>
    <w:rsid w:val="004067C7"/>
    <w:rsid w:val="00420CB0"/>
    <w:rsid w:val="004307B2"/>
    <w:rsid w:val="00433CC7"/>
    <w:rsid w:val="004342D3"/>
    <w:rsid w:val="00440B40"/>
    <w:rsid w:val="00461F0B"/>
    <w:rsid w:val="00470DF4"/>
    <w:rsid w:val="00473971"/>
    <w:rsid w:val="00473D40"/>
    <w:rsid w:val="00474457"/>
    <w:rsid w:val="00477411"/>
    <w:rsid w:val="00481A3E"/>
    <w:rsid w:val="00485DA1"/>
    <w:rsid w:val="0048755A"/>
    <w:rsid w:val="00487794"/>
    <w:rsid w:val="00490095"/>
    <w:rsid w:val="00491EDE"/>
    <w:rsid w:val="0049464D"/>
    <w:rsid w:val="00496192"/>
    <w:rsid w:val="00497588"/>
    <w:rsid w:val="004A0F24"/>
    <w:rsid w:val="004A11B0"/>
    <w:rsid w:val="004A6F21"/>
    <w:rsid w:val="004B1EF1"/>
    <w:rsid w:val="004B3C54"/>
    <w:rsid w:val="004B5365"/>
    <w:rsid w:val="004B733C"/>
    <w:rsid w:val="004C18BF"/>
    <w:rsid w:val="004C2DF3"/>
    <w:rsid w:val="004D145F"/>
    <w:rsid w:val="004D4529"/>
    <w:rsid w:val="004E180F"/>
    <w:rsid w:val="004E1ACC"/>
    <w:rsid w:val="004F5DE5"/>
    <w:rsid w:val="004F6587"/>
    <w:rsid w:val="00500175"/>
    <w:rsid w:val="0050104F"/>
    <w:rsid w:val="005070A3"/>
    <w:rsid w:val="00511782"/>
    <w:rsid w:val="00511FE0"/>
    <w:rsid w:val="00512AB2"/>
    <w:rsid w:val="00512C72"/>
    <w:rsid w:val="0051433E"/>
    <w:rsid w:val="00516FDE"/>
    <w:rsid w:val="00521AB0"/>
    <w:rsid w:val="005247B8"/>
    <w:rsid w:val="00525B2A"/>
    <w:rsid w:val="00535A2E"/>
    <w:rsid w:val="00540728"/>
    <w:rsid w:val="00542EED"/>
    <w:rsid w:val="00543BCF"/>
    <w:rsid w:val="0054703C"/>
    <w:rsid w:val="0054714D"/>
    <w:rsid w:val="00551A9C"/>
    <w:rsid w:val="00553992"/>
    <w:rsid w:val="00553E60"/>
    <w:rsid w:val="00556C24"/>
    <w:rsid w:val="005623A3"/>
    <w:rsid w:val="00566B5B"/>
    <w:rsid w:val="00580F57"/>
    <w:rsid w:val="00584525"/>
    <w:rsid w:val="00590021"/>
    <w:rsid w:val="00591FC8"/>
    <w:rsid w:val="00593635"/>
    <w:rsid w:val="00595B12"/>
    <w:rsid w:val="005A248D"/>
    <w:rsid w:val="005A6A3C"/>
    <w:rsid w:val="005B61BD"/>
    <w:rsid w:val="005E2852"/>
    <w:rsid w:val="005E5149"/>
    <w:rsid w:val="005F14AD"/>
    <w:rsid w:val="005F3140"/>
    <w:rsid w:val="005F3D8E"/>
    <w:rsid w:val="005F3E38"/>
    <w:rsid w:val="005F5AAA"/>
    <w:rsid w:val="00605196"/>
    <w:rsid w:val="00607A84"/>
    <w:rsid w:val="006164C1"/>
    <w:rsid w:val="00621BDB"/>
    <w:rsid w:val="0063184A"/>
    <w:rsid w:val="0063281F"/>
    <w:rsid w:val="00633354"/>
    <w:rsid w:val="0064034A"/>
    <w:rsid w:val="00644E34"/>
    <w:rsid w:val="00651679"/>
    <w:rsid w:val="00653EFB"/>
    <w:rsid w:val="006644CD"/>
    <w:rsid w:val="00666FE0"/>
    <w:rsid w:val="00682612"/>
    <w:rsid w:val="006847C9"/>
    <w:rsid w:val="00684C2A"/>
    <w:rsid w:val="00685769"/>
    <w:rsid w:val="00686395"/>
    <w:rsid w:val="00690C8B"/>
    <w:rsid w:val="006977EE"/>
    <w:rsid w:val="00697916"/>
    <w:rsid w:val="006A0010"/>
    <w:rsid w:val="006A0567"/>
    <w:rsid w:val="006B2A71"/>
    <w:rsid w:val="006C1161"/>
    <w:rsid w:val="006C74A6"/>
    <w:rsid w:val="006D03F4"/>
    <w:rsid w:val="006D0E1A"/>
    <w:rsid w:val="006F1251"/>
    <w:rsid w:val="0070187C"/>
    <w:rsid w:val="00711208"/>
    <w:rsid w:val="00711356"/>
    <w:rsid w:val="007134D1"/>
    <w:rsid w:val="00727D24"/>
    <w:rsid w:val="00731FC2"/>
    <w:rsid w:val="0074797D"/>
    <w:rsid w:val="00752B17"/>
    <w:rsid w:val="0075308A"/>
    <w:rsid w:val="007557ED"/>
    <w:rsid w:val="00756643"/>
    <w:rsid w:val="00761388"/>
    <w:rsid w:val="00761FEB"/>
    <w:rsid w:val="00764856"/>
    <w:rsid w:val="00777469"/>
    <w:rsid w:val="00783B8C"/>
    <w:rsid w:val="00783C46"/>
    <w:rsid w:val="007855E6"/>
    <w:rsid w:val="00797331"/>
    <w:rsid w:val="007A0A8A"/>
    <w:rsid w:val="007A0B8A"/>
    <w:rsid w:val="007A0E1C"/>
    <w:rsid w:val="007B1698"/>
    <w:rsid w:val="007C4693"/>
    <w:rsid w:val="007D302C"/>
    <w:rsid w:val="007D74A9"/>
    <w:rsid w:val="007E0D3F"/>
    <w:rsid w:val="007F48FE"/>
    <w:rsid w:val="008062F8"/>
    <w:rsid w:val="00813F37"/>
    <w:rsid w:val="00823298"/>
    <w:rsid w:val="008334EF"/>
    <w:rsid w:val="008352A3"/>
    <w:rsid w:val="00840D10"/>
    <w:rsid w:val="00845196"/>
    <w:rsid w:val="00847F70"/>
    <w:rsid w:val="008555C9"/>
    <w:rsid w:val="00860A10"/>
    <w:rsid w:val="00867982"/>
    <w:rsid w:val="0087050D"/>
    <w:rsid w:val="00870EE7"/>
    <w:rsid w:val="00872B56"/>
    <w:rsid w:val="00873E79"/>
    <w:rsid w:val="00884BFC"/>
    <w:rsid w:val="008857ED"/>
    <w:rsid w:val="008875CE"/>
    <w:rsid w:val="008905FC"/>
    <w:rsid w:val="00891C5B"/>
    <w:rsid w:val="00892288"/>
    <w:rsid w:val="00893C3D"/>
    <w:rsid w:val="008B3B43"/>
    <w:rsid w:val="008B6F5E"/>
    <w:rsid w:val="008C52D6"/>
    <w:rsid w:val="008D00BC"/>
    <w:rsid w:val="008D7852"/>
    <w:rsid w:val="008E0134"/>
    <w:rsid w:val="008E02A5"/>
    <w:rsid w:val="008E3649"/>
    <w:rsid w:val="008F1FBA"/>
    <w:rsid w:val="00902001"/>
    <w:rsid w:val="00905F7F"/>
    <w:rsid w:val="0091218B"/>
    <w:rsid w:val="0092069E"/>
    <w:rsid w:val="009223B0"/>
    <w:rsid w:val="00934F64"/>
    <w:rsid w:val="0094213C"/>
    <w:rsid w:val="00944C90"/>
    <w:rsid w:val="00946374"/>
    <w:rsid w:val="00946FC1"/>
    <w:rsid w:val="009471C4"/>
    <w:rsid w:val="009514D1"/>
    <w:rsid w:val="0095721C"/>
    <w:rsid w:val="00957E66"/>
    <w:rsid w:val="00962742"/>
    <w:rsid w:val="0098310F"/>
    <w:rsid w:val="009867C7"/>
    <w:rsid w:val="00997A9A"/>
    <w:rsid w:val="009A0955"/>
    <w:rsid w:val="009A57B7"/>
    <w:rsid w:val="009B55AD"/>
    <w:rsid w:val="009C0DE7"/>
    <w:rsid w:val="009C2C5E"/>
    <w:rsid w:val="009C7E96"/>
    <w:rsid w:val="009D268D"/>
    <w:rsid w:val="009D613B"/>
    <w:rsid w:val="00A021FE"/>
    <w:rsid w:val="00A10C8C"/>
    <w:rsid w:val="00A12AE3"/>
    <w:rsid w:val="00A12DD5"/>
    <w:rsid w:val="00A22A72"/>
    <w:rsid w:val="00A27993"/>
    <w:rsid w:val="00A311A9"/>
    <w:rsid w:val="00A3183D"/>
    <w:rsid w:val="00A31BE6"/>
    <w:rsid w:val="00A31DA4"/>
    <w:rsid w:val="00A36AC3"/>
    <w:rsid w:val="00A37260"/>
    <w:rsid w:val="00A40F7E"/>
    <w:rsid w:val="00A5304B"/>
    <w:rsid w:val="00A53DBA"/>
    <w:rsid w:val="00A55298"/>
    <w:rsid w:val="00A56409"/>
    <w:rsid w:val="00A57CA6"/>
    <w:rsid w:val="00A60EB9"/>
    <w:rsid w:val="00A65352"/>
    <w:rsid w:val="00A65FB1"/>
    <w:rsid w:val="00A81EBD"/>
    <w:rsid w:val="00A90674"/>
    <w:rsid w:val="00A924B0"/>
    <w:rsid w:val="00A96117"/>
    <w:rsid w:val="00A9697B"/>
    <w:rsid w:val="00AA5DE2"/>
    <w:rsid w:val="00AD3F28"/>
    <w:rsid w:val="00AD446F"/>
    <w:rsid w:val="00AE3EA1"/>
    <w:rsid w:val="00AE4C64"/>
    <w:rsid w:val="00AF6123"/>
    <w:rsid w:val="00B02A30"/>
    <w:rsid w:val="00B12B7B"/>
    <w:rsid w:val="00B14F2C"/>
    <w:rsid w:val="00B15CD0"/>
    <w:rsid w:val="00B1778D"/>
    <w:rsid w:val="00B22A25"/>
    <w:rsid w:val="00B33994"/>
    <w:rsid w:val="00B34798"/>
    <w:rsid w:val="00B37AFF"/>
    <w:rsid w:val="00B50735"/>
    <w:rsid w:val="00B54011"/>
    <w:rsid w:val="00B575C0"/>
    <w:rsid w:val="00B63690"/>
    <w:rsid w:val="00B63FC6"/>
    <w:rsid w:val="00B76084"/>
    <w:rsid w:val="00B801EF"/>
    <w:rsid w:val="00B812E7"/>
    <w:rsid w:val="00B820BB"/>
    <w:rsid w:val="00B87831"/>
    <w:rsid w:val="00B90210"/>
    <w:rsid w:val="00B93C97"/>
    <w:rsid w:val="00B96721"/>
    <w:rsid w:val="00BA1903"/>
    <w:rsid w:val="00BA2A53"/>
    <w:rsid w:val="00BA398F"/>
    <w:rsid w:val="00BB3B4A"/>
    <w:rsid w:val="00BB412A"/>
    <w:rsid w:val="00BB5630"/>
    <w:rsid w:val="00BB78A4"/>
    <w:rsid w:val="00BB7F38"/>
    <w:rsid w:val="00BC0018"/>
    <w:rsid w:val="00BC54B0"/>
    <w:rsid w:val="00BD446E"/>
    <w:rsid w:val="00BD56DE"/>
    <w:rsid w:val="00BE177A"/>
    <w:rsid w:val="00BF5329"/>
    <w:rsid w:val="00BF5639"/>
    <w:rsid w:val="00BF69AA"/>
    <w:rsid w:val="00BF7109"/>
    <w:rsid w:val="00BF72C9"/>
    <w:rsid w:val="00C13D50"/>
    <w:rsid w:val="00C15E40"/>
    <w:rsid w:val="00C16D36"/>
    <w:rsid w:val="00C17BB9"/>
    <w:rsid w:val="00C254A9"/>
    <w:rsid w:val="00C25D37"/>
    <w:rsid w:val="00C34E68"/>
    <w:rsid w:val="00C415E3"/>
    <w:rsid w:val="00C43BF5"/>
    <w:rsid w:val="00C47276"/>
    <w:rsid w:val="00C50F32"/>
    <w:rsid w:val="00C51A08"/>
    <w:rsid w:val="00C52183"/>
    <w:rsid w:val="00C53A9F"/>
    <w:rsid w:val="00C53C3E"/>
    <w:rsid w:val="00C608B6"/>
    <w:rsid w:val="00C64D25"/>
    <w:rsid w:val="00C70125"/>
    <w:rsid w:val="00C7656C"/>
    <w:rsid w:val="00C76970"/>
    <w:rsid w:val="00C77326"/>
    <w:rsid w:val="00C8169F"/>
    <w:rsid w:val="00C82318"/>
    <w:rsid w:val="00C82AAF"/>
    <w:rsid w:val="00C842E6"/>
    <w:rsid w:val="00C875D2"/>
    <w:rsid w:val="00C905D6"/>
    <w:rsid w:val="00C91EA4"/>
    <w:rsid w:val="00CA7371"/>
    <w:rsid w:val="00CA7B62"/>
    <w:rsid w:val="00CB71E0"/>
    <w:rsid w:val="00CC0442"/>
    <w:rsid w:val="00CC1C7D"/>
    <w:rsid w:val="00CC1FF8"/>
    <w:rsid w:val="00CC314E"/>
    <w:rsid w:val="00CC418F"/>
    <w:rsid w:val="00CD1767"/>
    <w:rsid w:val="00CD3D23"/>
    <w:rsid w:val="00CD513D"/>
    <w:rsid w:val="00CD52EA"/>
    <w:rsid w:val="00CD6D76"/>
    <w:rsid w:val="00CD7D0E"/>
    <w:rsid w:val="00CE2300"/>
    <w:rsid w:val="00CE2985"/>
    <w:rsid w:val="00CE3A8C"/>
    <w:rsid w:val="00CE6E59"/>
    <w:rsid w:val="00D05F59"/>
    <w:rsid w:val="00D116A5"/>
    <w:rsid w:val="00D14D01"/>
    <w:rsid w:val="00D21C07"/>
    <w:rsid w:val="00D243B8"/>
    <w:rsid w:val="00D24425"/>
    <w:rsid w:val="00D27964"/>
    <w:rsid w:val="00D4311C"/>
    <w:rsid w:val="00D5078A"/>
    <w:rsid w:val="00D61D1E"/>
    <w:rsid w:val="00D62E77"/>
    <w:rsid w:val="00D710CB"/>
    <w:rsid w:val="00D81AA8"/>
    <w:rsid w:val="00D82686"/>
    <w:rsid w:val="00D837C0"/>
    <w:rsid w:val="00D86DAC"/>
    <w:rsid w:val="00D87DEB"/>
    <w:rsid w:val="00D92419"/>
    <w:rsid w:val="00D978FF"/>
    <w:rsid w:val="00DA3E58"/>
    <w:rsid w:val="00DA49CD"/>
    <w:rsid w:val="00DA67DA"/>
    <w:rsid w:val="00DA6976"/>
    <w:rsid w:val="00DA72A5"/>
    <w:rsid w:val="00DB1026"/>
    <w:rsid w:val="00DB23C7"/>
    <w:rsid w:val="00DB4652"/>
    <w:rsid w:val="00DB6715"/>
    <w:rsid w:val="00DC2181"/>
    <w:rsid w:val="00DC5576"/>
    <w:rsid w:val="00DD0B37"/>
    <w:rsid w:val="00DD1F40"/>
    <w:rsid w:val="00DD63B1"/>
    <w:rsid w:val="00DE3444"/>
    <w:rsid w:val="00DE4C90"/>
    <w:rsid w:val="00DE5AD1"/>
    <w:rsid w:val="00DE7DB5"/>
    <w:rsid w:val="00DF79DE"/>
    <w:rsid w:val="00E04149"/>
    <w:rsid w:val="00E05BB2"/>
    <w:rsid w:val="00E13609"/>
    <w:rsid w:val="00E15FF1"/>
    <w:rsid w:val="00E20799"/>
    <w:rsid w:val="00E269BF"/>
    <w:rsid w:val="00E31D1A"/>
    <w:rsid w:val="00E34732"/>
    <w:rsid w:val="00E56A4D"/>
    <w:rsid w:val="00E6191C"/>
    <w:rsid w:val="00E64F98"/>
    <w:rsid w:val="00E67F47"/>
    <w:rsid w:val="00E7372F"/>
    <w:rsid w:val="00E80636"/>
    <w:rsid w:val="00E81723"/>
    <w:rsid w:val="00E855CD"/>
    <w:rsid w:val="00E864BF"/>
    <w:rsid w:val="00E864FB"/>
    <w:rsid w:val="00E872BD"/>
    <w:rsid w:val="00E91716"/>
    <w:rsid w:val="00E97782"/>
    <w:rsid w:val="00EA0941"/>
    <w:rsid w:val="00EA4A87"/>
    <w:rsid w:val="00EB189E"/>
    <w:rsid w:val="00EB2366"/>
    <w:rsid w:val="00EB58AE"/>
    <w:rsid w:val="00EC11E1"/>
    <w:rsid w:val="00EC6946"/>
    <w:rsid w:val="00EC6E47"/>
    <w:rsid w:val="00EC6F1D"/>
    <w:rsid w:val="00ED0D48"/>
    <w:rsid w:val="00ED4440"/>
    <w:rsid w:val="00ED713D"/>
    <w:rsid w:val="00EE7DD5"/>
    <w:rsid w:val="00EF22A4"/>
    <w:rsid w:val="00EF3273"/>
    <w:rsid w:val="00EF3674"/>
    <w:rsid w:val="00F022CA"/>
    <w:rsid w:val="00F133B9"/>
    <w:rsid w:val="00F16833"/>
    <w:rsid w:val="00F26EBB"/>
    <w:rsid w:val="00F308D6"/>
    <w:rsid w:val="00F34A96"/>
    <w:rsid w:val="00F42F48"/>
    <w:rsid w:val="00F45383"/>
    <w:rsid w:val="00F45512"/>
    <w:rsid w:val="00F65991"/>
    <w:rsid w:val="00F743F8"/>
    <w:rsid w:val="00F750F4"/>
    <w:rsid w:val="00F80C78"/>
    <w:rsid w:val="00F83C01"/>
    <w:rsid w:val="00F929CA"/>
    <w:rsid w:val="00FA6067"/>
    <w:rsid w:val="00FA6B50"/>
    <w:rsid w:val="00FB181A"/>
    <w:rsid w:val="00FB7C3A"/>
    <w:rsid w:val="00FC5B5E"/>
    <w:rsid w:val="00FD0913"/>
    <w:rsid w:val="00FD2C4A"/>
    <w:rsid w:val="00FD6637"/>
    <w:rsid w:val="00FE0A75"/>
    <w:rsid w:val="00FF34A6"/>
    <w:rsid w:val="00FF6A85"/>
    <w:rsid w:val="00FF7A7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3C7"/>
    <w:rPr>
      <w:sz w:val="24"/>
      <w:szCs w:val="24"/>
    </w:rPr>
  </w:style>
  <w:style w:type="paragraph" w:styleId="Heading1">
    <w:name w:val="heading 1"/>
    <w:basedOn w:val="Normal"/>
    <w:link w:val="Heading1Char"/>
    <w:uiPriority w:val="99"/>
    <w:qFormat/>
    <w:rsid w:val="0004497C"/>
    <w:pPr>
      <w:keepNext/>
      <w:outlineLvl w:val="0"/>
    </w:pPr>
    <w:rPr>
      <w:b/>
      <w:bCs/>
      <w:color w:val="000000"/>
      <w:kern w:val="36"/>
      <w:sz w:val="28"/>
      <w:szCs w:val="28"/>
      <w:u w:val="single"/>
    </w:rPr>
  </w:style>
  <w:style w:type="paragraph" w:styleId="Heading2">
    <w:name w:val="heading 2"/>
    <w:basedOn w:val="Normal"/>
    <w:link w:val="Heading2Char"/>
    <w:uiPriority w:val="99"/>
    <w:qFormat/>
    <w:rsid w:val="0004497C"/>
    <w:pPr>
      <w:keepNext/>
      <w:outlineLvl w:val="1"/>
    </w:pPr>
    <w:rPr>
      <w:b/>
      <w:bCs/>
      <w:color w:val="FF3300"/>
      <w:sz w:val="36"/>
      <w:szCs w:val="36"/>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83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8483B"/>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04497C"/>
    <w:pPr>
      <w:jc w:val="both"/>
    </w:pPr>
  </w:style>
  <w:style w:type="character" w:customStyle="1" w:styleId="BodyText2Char">
    <w:name w:val="Body Text 2 Char"/>
    <w:basedOn w:val="DefaultParagraphFont"/>
    <w:link w:val="BodyText2"/>
    <w:uiPriority w:val="99"/>
    <w:semiHidden/>
    <w:rsid w:val="0088483B"/>
    <w:rPr>
      <w:sz w:val="24"/>
      <w:szCs w:val="24"/>
    </w:rPr>
  </w:style>
  <w:style w:type="paragraph" w:styleId="BodyTextIndent">
    <w:name w:val="Body Text Indent"/>
    <w:basedOn w:val="Normal"/>
    <w:link w:val="BodyTextIndentChar"/>
    <w:uiPriority w:val="99"/>
    <w:rsid w:val="0004497C"/>
    <w:pPr>
      <w:ind w:left="708"/>
      <w:jc w:val="both"/>
    </w:pPr>
  </w:style>
  <w:style w:type="character" w:customStyle="1" w:styleId="BodyTextIndentChar">
    <w:name w:val="Body Text Indent Char"/>
    <w:basedOn w:val="DefaultParagraphFont"/>
    <w:link w:val="BodyTextIndent"/>
    <w:uiPriority w:val="99"/>
    <w:semiHidden/>
    <w:rsid w:val="0088483B"/>
    <w:rPr>
      <w:sz w:val="24"/>
      <w:szCs w:val="24"/>
    </w:rPr>
  </w:style>
  <w:style w:type="paragraph" w:styleId="BodyText">
    <w:name w:val="Body Text"/>
    <w:basedOn w:val="Normal"/>
    <w:link w:val="BodyTextChar"/>
    <w:uiPriority w:val="99"/>
    <w:rsid w:val="0004497C"/>
    <w:pPr>
      <w:jc w:val="center"/>
    </w:pPr>
    <w:rPr>
      <w:b/>
      <w:bCs/>
    </w:rPr>
  </w:style>
  <w:style w:type="character" w:customStyle="1" w:styleId="BodyTextChar">
    <w:name w:val="Body Text Char"/>
    <w:basedOn w:val="DefaultParagraphFont"/>
    <w:link w:val="BodyText"/>
    <w:uiPriority w:val="99"/>
    <w:semiHidden/>
    <w:rsid w:val="0088483B"/>
    <w:rPr>
      <w:sz w:val="24"/>
      <w:szCs w:val="24"/>
    </w:rPr>
  </w:style>
  <w:style w:type="paragraph" w:styleId="NormalWeb">
    <w:name w:val="Normal (Web)"/>
    <w:basedOn w:val="Normal"/>
    <w:uiPriority w:val="99"/>
    <w:rsid w:val="0004497C"/>
    <w:pPr>
      <w:spacing w:before="100" w:beforeAutospacing="1" w:after="100" w:afterAutospacing="1"/>
    </w:pPr>
  </w:style>
  <w:style w:type="paragraph" w:styleId="Footer">
    <w:name w:val="footer"/>
    <w:basedOn w:val="Normal"/>
    <w:link w:val="FooterChar"/>
    <w:uiPriority w:val="99"/>
    <w:rsid w:val="00084C16"/>
    <w:pPr>
      <w:tabs>
        <w:tab w:val="center" w:pos="4536"/>
        <w:tab w:val="right" w:pos="9072"/>
      </w:tabs>
    </w:pPr>
  </w:style>
  <w:style w:type="character" w:customStyle="1" w:styleId="FooterChar">
    <w:name w:val="Footer Char"/>
    <w:basedOn w:val="DefaultParagraphFont"/>
    <w:link w:val="Footer"/>
    <w:uiPriority w:val="99"/>
    <w:locked/>
    <w:rsid w:val="00633354"/>
    <w:rPr>
      <w:sz w:val="24"/>
      <w:szCs w:val="24"/>
    </w:rPr>
  </w:style>
  <w:style w:type="character" w:styleId="PageNumber">
    <w:name w:val="page number"/>
    <w:basedOn w:val="DefaultParagraphFont"/>
    <w:uiPriority w:val="99"/>
    <w:rsid w:val="00084C16"/>
  </w:style>
  <w:style w:type="character" w:styleId="Hyperlink">
    <w:name w:val="Hyperlink"/>
    <w:basedOn w:val="DefaultParagraphFont"/>
    <w:uiPriority w:val="99"/>
    <w:rsid w:val="00DA67DA"/>
    <w:rPr>
      <w:color w:val="0000FF"/>
      <w:u w:val="single"/>
    </w:rPr>
  </w:style>
  <w:style w:type="paragraph" w:styleId="Header">
    <w:name w:val="header"/>
    <w:basedOn w:val="Normal"/>
    <w:link w:val="HeaderChar"/>
    <w:uiPriority w:val="99"/>
    <w:rsid w:val="00C25D37"/>
    <w:pPr>
      <w:tabs>
        <w:tab w:val="center" w:pos="4536"/>
        <w:tab w:val="right" w:pos="9072"/>
      </w:tabs>
    </w:pPr>
    <w:rPr>
      <w:sz w:val="20"/>
      <w:szCs w:val="20"/>
    </w:rPr>
  </w:style>
  <w:style w:type="character" w:customStyle="1" w:styleId="HeaderChar">
    <w:name w:val="Header Char"/>
    <w:basedOn w:val="DefaultParagraphFont"/>
    <w:link w:val="Header"/>
    <w:uiPriority w:val="99"/>
    <w:semiHidden/>
    <w:rsid w:val="0088483B"/>
    <w:rPr>
      <w:sz w:val="24"/>
      <w:szCs w:val="24"/>
    </w:rPr>
  </w:style>
  <w:style w:type="character" w:styleId="Strong">
    <w:name w:val="Strong"/>
    <w:basedOn w:val="DefaultParagraphFont"/>
    <w:uiPriority w:val="99"/>
    <w:qFormat/>
    <w:rsid w:val="00C64D25"/>
    <w:rPr>
      <w:b/>
      <w:bCs/>
    </w:rPr>
  </w:style>
  <w:style w:type="paragraph" w:styleId="BalloonText">
    <w:name w:val="Balloon Text"/>
    <w:basedOn w:val="Normal"/>
    <w:link w:val="BalloonTextChar"/>
    <w:uiPriority w:val="99"/>
    <w:semiHidden/>
    <w:rsid w:val="00DA69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6976"/>
    <w:rPr>
      <w:rFonts w:ascii="Tahoma" w:hAnsi="Tahoma" w:cs="Tahoma"/>
      <w:sz w:val="16"/>
      <w:szCs w:val="16"/>
    </w:rPr>
  </w:style>
  <w:style w:type="paragraph" w:styleId="ListParagraph">
    <w:name w:val="List Paragraph"/>
    <w:basedOn w:val="Normal"/>
    <w:uiPriority w:val="99"/>
    <w:qFormat/>
    <w:rsid w:val="00605196"/>
    <w:pPr>
      <w:ind w:left="720"/>
    </w:pPr>
  </w:style>
</w:styles>
</file>

<file path=word/webSettings.xml><?xml version="1.0" encoding="utf-8"?>
<w:webSettings xmlns:r="http://schemas.openxmlformats.org/officeDocument/2006/relationships" xmlns:w="http://schemas.openxmlformats.org/wordprocessingml/2006/main">
  <w:divs>
    <w:div w:id="1025978343">
      <w:marLeft w:val="0"/>
      <w:marRight w:val="0"/>
      <w:marTop w:val="0"/>
      <w:marBottom w:val="0"/>
      <w:divBdr>
        <w:top w:val="none" w:sz="0" w:space="0" w:color="auto"/>
        <w:left w:val="none" w:sz="0" w:space="0" w:color="auto"/>
        <w:bottom w:val="none" w:sz="0" w:space="0" w:color="auto"/>
        <w:right w:val="none" w:sz="0" w:space="0" w:color="auto"/>
      </w:divBdr>
    </w:div>
    <w:div w:id="1025978344">
      <w:marLeft w:val="0"/>
      <w:marRight w:val="0"/>
      <w:marTop w:val="0"/>
      <w:marBottom w:val="0"/>
      <w:divBdr>
        <w:top w:val="none" w:sz="0" w:space="0" w:color="auto"/>
        <w:left w:val="none" w:sz="0" w:space="0" w:color="auto"/>
        <w:bottom w:val="none" w:sz="0" w:space="0" w:color="auto"/>
        <w:right w:val="none" w:sz="0" w:space="0" w:color="auto"/>
      </w:divBdr>
    </w:div>
    <w:div w:id="1025978345">
      <w:marLeft w:val="0"/>
      <w:marRight w:val="0"/>
      <w:marTop w:val="0"/>
      <w:marBottom w:val="0"/>
      <w:divBdr>
        <w:top w:val="none" w:sz="0" w:space="0" w:color="auto"/>
        <w:left w:val="none" w:sz="0" w:space="0" w:color="auto"/>
        <w:bottom w:val="none" w:sz="0" w:space="0" w:color="auto"/>
        <w:right w:val="none" w:sz="0" w:space="0" w:color="auto"/>
      </w:divBdr>
    </w:div>
    <w:div w:id="1025978346">
      <w:marLeft w:val="0"/>
      <w:marRight w:val="0"/>
      <w:marTop w:val="0"/>
      <w:marBottom w:val="0"/>
      <w:divBdr>
        <w:top w:val="none" w:sz="0" w:space="0" w:color="auto"/>
        <w:left w:val="none" w:sz="0" w:space="0" w:color="auto"/>
        <w:bottom w:val="none" w:sz="0" w:space="0" w:color="auto"/>
        <w:right w:val="none" w:sz="0" w:space="0" w:color="auto"/>
      </w:divBdr>
    </w:div>
    <w:div w:id="1025978347">
      <w:marLeft w:val="0"/>
      <w:marRight w:val="0"/>
      <w:marTop w:val="0"/>
      <w:marBottom w:val="0"/>
      <w:divBdr>
        <w:top w:val="none" w:sz="0" w:space="0" w:color="auto"/>
        <w:left w:val="none" w:sz="0" w:space="0" w:color="auto"/>
        <w:bottom w:val="none" w:sz="0" w:space="0" w:color="auto"/>
        <w:right w:val="none" w:sz="0" w:space="0" w:color="auto"/>
      </w:divBdr>
    </w:div>
    <w:div w:id="1025978348">
      <w:marLeft w:val="0"/>
      <w:marRight w:val="0"/>
      <w:marTop w:val="0"/>
      <w:marBottom w:val="0"/>
      <w:divBdr>
        <w:top w:val="none" w:sz="0" w:space="0" w:color="auto"/>
        <w:left w:val="none" w:sz="0" w:space="0" w:color="auto"/>
        <w:bottom w:val="none" w:sz="0" w:space="0" w:color="auto"/>
        <w:right w:val="none" w:sz="0" w:space="0" w:color="auto"/>
      </w:divBdr>
    </w:div>
    <w:div w:id="1025978349">
      <w:marLeft w:val="0"/>
      <w:marRight w:val="0"/>
      <w:marTop w:val="0"/>
      <w:marBottom w:val="0"/>
      <w:divBdr>
        <w:top w:val="none" w:sz="0" w:space="0" w:color="auto"/>
        <w:left w:val="none" w:sz="0" w:space="0" w:color="auto"/>
        <w:bottom w:val="none" w:sz="0" w:space="0" w:color="auto"/>
        <w:right w:val="none" w:sz="0" w:space="0" w:color="auto"/>
      </w:divBdr>
    </w:div>
    <w:div w:id="1025978350">
      <w:marLeft w:val="0"/>
      <w:marRight w:val="0"/>
      <w:marTop w:val="0"/>
      <w:marBottom w:val="0"/>
      <w:divBdr>
        <w:top w:val="none" w:sz="0" w:space="0" w:color="auto"/>
        <w:left w:val="none" w:sz="0" w:space="0" w:color="auto"/>
        <w:bottom w:val="none" w:sz="0" w:space="0" w:color="auto"/>
        <w:right w:val="none" w:sz="0" w:space="0" w:color="auto"/>
      </w:divBdr>
    </w:div>
    <w:div w:id="1025978351">
      <w:marLeft w:val="0"/>
      <w:marRight w:val="0"/>
      <w:marTop w:val="0"/>
      <w:marBottom w:val="0"/>
      <w:divBdr>
        <w:top w:val="none" w:sz="0" w:space="0" w:color="auto"/>
        <w:left w:val="none" w:sz="0" w:space="0" w:color="auto"/>
        <w:bottom w:val="none" w:sz="0" w:space="0" w:color="auto"/>
        <w:right w:val="none" w:sz="0" w:space="0" w:color="auto"/>
      </w:divBdr>
    </w:div>
    <w:div w:id="1025978352">
      <w:marLeft w:val="0"/>
      <w:marRight w:val="0"/>
      <w:marTop w:val="0"/>
      <w:marBottom w:val="0"/>
      <w:divBdr>
        <w:top w:val="none" w:sz="0" w:space="0" w:color="auto"/>
        <w:left w:val="none" w:sz="0" w:space="0" w:color="auto"/>
        <w:bottom w:val="none" w:sz="0" w:space="0" w:color="auto"/>
        <w:right w:val="none" w:sz="0" w:space="0" w:color="auto"/>
      </w:divBdr>
    </w:div>
    <w:div w:id="1025978353">
      <w:marLeft w:val="0"/>
      <w:marRight w:val="0"/>
      <w:marTop w:val="0"/>
      <w:marBottom w:val="0"/>
      <w:divBdr>
        <w:top w:val="none" w:sz="0" w:space="0" w:color="auto"/>
        <w:left w:val="none" w:sz="0" w:space="0" w:color="auto"/>
        <w:bottom w:val="none" w:sz="0" w:space="0" w:color="auto"/>
        <w:right w:val="none" w:sz="0" w:space="0" w:color="auto"/>
      </w:divBdr>
    </w:div>
    <w:div w:id="1025978354">
      <w:marLeft w:val="0"/>
      <w:marRight w:val="0"/>
      <w:marTop w:val="0"/>
      <w:marBottom w:val="0"/>
      <w:divBdr>
        <w:top w:val="none" w:sz="0" w:space="0" w:color="auto"/>
        <w:left w:val="none" w:sz="0" w:space="0" w:color="auto"/>
        <w:bottom w:val="none" w:sz="0" w:space="0" w:color="auto"/>
        <w:right w:val="none" w:sz="0" w:space="0" w:color="auto"/>
      </w:divBdr>
    </w:div>
    <w:div w:id="1025978355">
      <w:marLeft w:val="0"/>
      <w:marRight w:val="0"/>
      <w:marTop w:val="0"/>
      <w:marBottom w:val="0"/>
      <w:divBdr>
        <w:top w:val="none" w:sz="0" w:space="0" w:color="auto"/>
        <w:left w:val="none" w:sz="0" w:space="0" w:color="auto"/>
        <w:bottom w:val="none" w:sz="0" w:space="0" w:color="auto"/>
        <w:right w:val="none" w:sz="0" w:space="0" w:color="auto"/>
      </w:divBdr>
    </w:div>
    <w:div w:id="1025978356">
      <w:marLeft w:val="0"/>
      <w:marRight w:val="0"/>
      <w:marTop w:val="0"/>
      <w:marBottom w:val="0"/>
      <w:divBdr>
        <w:top w:val="none" w:sz="0" w:space="0" w:color="auto"/>
        <w:left w:val="none" w:sz="0" w:space="0" w:color="auto"/>
        <w:bottom w:val="none" w:sz="0" w:space="0" w:color="auto"/>
        <w:right w:val="none" w:sz="0" w:space="0" w:color="auto"/>
      </w:divBdr>
    </w:div>
    <w:div w:id="1025978357">
      <w:marLeft w:val="0"/>
      <w:marRight w:val="0"/>
      <w:marTop w:val="0"/>
      <w:marBottom w:val="0"/>
      <w:divBdr>
        <w:top w:val="none" w:sz="0" w:space="0" w:color="auto"/>
        <w:left w:val="none" w:sz="0" w:space="0" w:color="auto"/>
        <w:bottom w:val="none" w:sz="0" w:space="0" w:color="auto"/>
        <w:right w:val="none" w:sz="0" w:space="0" w:color="auto"/>
      </w:divBdr>
    </w:div>
    <w:div w:id="1025978358">
      <w:marLeft w:val="0"/>
      <w:marRight w:val="0"/>
      <w:marTop w:val="0"/>
      <w:marBottom w:val="0"/>
      <w:divBdr>
        <w:top w:val="none" w:sz="0" w:space="0" w:color="auto"/>
        <w:left w:val="none" w:sz="0" w:space="0" w:color="auto"/>
        <w:bottom w:val="none" w:sz="0" w:space="0" w:color="auto"/>
        <w:right w:val="none" w:sz="0" w:space="0" w:color="auto"/>
      </w:divBdr>
    </w:div>
    <w:div w:id="1025978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arimr.gov.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imr.gov.pl" TargetMode="External"/><Relationship Id="rId5" Type="http://schemas.openxmlformats.org/officeDocument/2006/relationships/footnotes" Target="footnotes.xml"/><Relationship Id="rId15" Type="http://schemas.openxmlformats.org/officeDocument/2006/relationships/hyperlink" Target="http://www.arimr.gov.pl" TargetMode="External"/><Relationship Id="rId10" Type="http://schemas.openxmlformats.org/officeDocument/2006/relationships/hyperlink" Target="http://www.arimr.gov.pl" TargetMode="External"/><Relationship Id="rId4" Type="http://schemas.openxmlformats.org/officeDocument/2006/relationships/webSettings" Target="webSettings.xml"/><Relationship Id="rId9" Type="http://schemas.openxmlformats.org/officeDocument/2006/relationships/hyperlink" Target="mailto:BP293@arimr.gov.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3891</Words>
  <Characters>23351</Characters>
  <Application>Microsoft Office Outlook</Application>
  <DocSecurity>0</DocSecurity>
  <Lines>0</Lines>
  <Paragraphs>0</Paragraphs>
  <ScaleCrop>false</ScaleCrop>
  <Company>ARIMR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NA TEMAT FUNKCJIONOWANIA </dc:title>
  <dc:subject/>
  <dc:creator>Gebler.Tadeusz</dc:creator>
  <cp:keywords/>
  <dc:description/>
  <cp:lastModifiedBy>NowakL</cp:lastModifiedBy>
  <cp:revision>2</cp:revision>
  <cp:lastPrinted>2014-03-06T12:53:00Z</cp:lastPrinted>
  <dcterms:created xsi:type="dcterms:W3CDTF">2014-03-28T12:38:00Z</dcterms:created>
  <dcterms:modified xsi:type="dcterms:W3CDTF">2014-03-28T12:38:00Z</dcterms:modified>
</cp:coreProperties>
</file>